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2C63CBA3" w14:textId="77777777" w:rsidR="00C04867" w:rsidRPr="00D2782A" w:rsidRDefault="00C04867" w:rsidP="00C04867">
      <w:pPr>
        <w:pStyle w:val="Heading2"/>
        <w:rPr>
          <w:rFonts w:ascii="Times New Roman" w:hAnsi="Times New Roman"/>
        </w:rPr>
      </w:pPr>
      <w:r w:rsidRPr="00D2782A">
        <w:rPr>
          <w:rFonts w:ascii="Times New Roman" w:hAnsi="Times New Roman"/>
        </w:rPr>
        <w:t>Section 17</w:t>
      </w:r>
    </w:p>
    <w:p w14:paraId="0B8808FB" w14:textId="77777777" w:rsidR="00C04867" w:rsidRPr="00D2782A" w:rsidRDefault="00C04867" w:rsidP="00C04867">
      <w:pPr>
        <w:pStyle w:val="Heading2"/>
        <w:rPr>
          <w:rFonts w:ascii="Times New Roman" w:hAnsi="Times New Roman"/>
        </w:rPr>
      </w:pPr>
      <w:r w:rsidRPr="00D2782A">
        <w:rPr>
          <w:rFonts w:ascii="Times New Roman" w:hAnsi="Times New Roman"/>
        </w:rPr>
        <w:t>Wastewater Disposal</w:t>
      </w:r>
    </w:p>
    <w:p w14:paraId="7CCD33B6" w14:textId="77777777" w:rsidR="00C04867" w:rsidRPr="00D2782A" w:rsidRDefault="00C04867" w:rsidP="00C04867">
      <w:pPr>
        <w:rPr>
          <w:rFonts w:ascii="Times New Roman" w:hAnsi="Times New Roman" w:cs="Times New Roman"/>
        </w:rPr>
      </w:pPr>
    </w:p>
    <w:p w14:paraId="6745C59A" w14:textId="77777777" w:rsidR="00C04867" w:rsidRPr="00D2782A" w:rsidRDefault="00C04867" w:rsidP="00C04867">
      <w:pPr>
        <w:pStyle w:val="ListParagraph"/>
        <w:numPr>
          <w:ilvl w:val="0"/>
          <w:numId w:val="71"/>
        </w:numPr>
        <w:rPr>
          <w:rFonts w:ascii="Times New Roman" w:hAnsi="Times New Roman" w:cs="Times New Roman"/>
        </w:rPr>
      </w:pPr>
      <w:r w:rsidRPr="00D2782A">
        <w:rPr>
          <w:rStyle w:val="Strong"/>
          <w:rFonts w:ascii="Times New Roman" w:hAnsi="Times New Roman" w:cs="Times New Roman"/>
        </w:rPr>
        <w:t>On-site subsurface wastewater disposal systems.</w:t>
      </w:r>
      <w:r w:rsidRPr="00D2782A">
        <w:rPr>
          <w:rFonts w:ascii="Times New Roman" w:hAnsi="Times New Roman" w:cs="Times New Roman"/>
        </w:rPr>
        <w:t xml:space="preserve"> If sewage disposal is by subsurface wastewater disposal systems, provide an on-site investigation report by a licensed site evaluator and, if required by subsection B, a certified geologist, including the following information as applicable. Note that only test pits are acceptable for reporting soil conditions for subsurface wastewater disposal, except as provided for in subsection A (4)(a).</w:t>
      </w:r>
    </w:p>
    <w:p w14:paraId="7ABA81C7" w14:textId="77777777" w:rsidR="00C04867" w:rsidRPr="00D2782A" w:rsidRDefault="00C04867" w:rsidP="00C04867">
      <w:pPr>
        <w:rPr>
          <w:rFonts w:ascii="Times New Roman" w:hAnsi="Times New Roman" w:cs="Times New Roman"/>
        </w:rPr>
      </w:pPr>
    </w:p>
    <w:p w14:paraId="6011B184"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Fonts w:ascii="Times New Roman" w:hAnsi="Times New Roman" w:cs="Times New Roman"/>
          <w:u w:val="single"/>
        </w:rPr>
        <w:t>Site plan.</w:t>
      </w:r>
      <w:r w:rsidRPr="00D2782A">
        <w:rPr>
          <w:rFonts w:ascii="Times New Roman" w:hAnsi="Times New Roman" w:cs="Times New Roman"/>
        </w:rPr>
        <w:t xml:space="preserve"> A site plan showing site topography, project boundaries, and layout of the proposed development ; location of all subsurface explorations (test pits, borings, etc.) with corresponding numbers or other identifying alphanumeric code; any existing on-site water supply wells or existing off-site wells within 300 feet of the project boundaries, and proposed subsurface wastewater disposal field locations (i.e. footprints) including limits of fill extensions for disposal fields on slopes greater than 10%. Test pits must be located clearly within disposal field footprints. The site plan must also include an identification of the responsible licensed site evaluator, a note referencing the associated soil report by title and date, and an identification of subsurface exploration and disposal field footprint symbols utilized in the plan. Note that additional information may be required by subsection B (3)(b).</w:t>
      </w:r>
    </w:p>
    <w:p w14:paraId="21D40978" w14:textId="77777777" w:rsidR="00C04867" w:rsidRPr="00D2782A" w:rsidRDefault="00C04867" w:rsidP="00C04867">
      <w:pPr>
        <w:pStyle w:val="ListParagraph"/>
        <w:numPr>
          <w:ilvl w:val="0"/>
          <w:numId w:val="0"/>
        </w:numPr>
        <w:ind w:left="1080"/>
        <w:rPr>
          <w:rFonts w:ascii="Times New Roman" w:hAnsi="Times New Roman" w:cs="Times New Roman"/>
        </w:rPr>
      </w:pPr>
    </w:p>
    <w:p w14:paraId="5E7C0560"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Style w:val="Strong"/>
          <w:rFonts w:ascii="Times New Roman" w:hAnsi="Times New Roman" w:cs="Times New Roman"/>
        </w:rPr>
        <w:t>Soil conditions summary table.</w:t>
      </w:r>
      <w:r w:rsidRPr="00D2782A">
        <w:rPr>
          <w:rFonts w:ascii="Times New Roman" w:hAnsi="Times New Roman" w:cs="Times New Roman"/>
        </w:rPr>
        <w:t xml:space="preserve"> Soil conditions summary table including all subsurface explorations, and indicating lot number, exploration identification symbol, soil profile/condition, depths to limiting factors, and identifying the test pits to be used for disposal field designs. Use copies of Form E, Part III. Borings and probes are acceptable only to address subsection A (4)(a).</w:t>
      </w:r>
    </w:p>
    <w:p w14:paraId="56E72A56" w14:textId="77777777" w:rsidR="00C04867" w:rsidRPr="00D2782A" w:rsidRDefault="00C04867" w:rsidP="00C04867">
      <w:pPr>
        <w:pStyle w:val="ListParagraph"/>
        <w:numPr>
          <w:ilvl w:val="0"/>
          <w:numId w:val="0"/>
        </w:numPr>
        <w:ind w:left="1080"/>
        <w:rPr>
          <w:rFonts w:ascii="Times New Roman" w:hAnsi="Times New Roman" w:cs="Times New Roman"/>
        </w:rPr>
      </w:pPr>
    </w:p>
    <w:p w14:paraId="7D5005BF"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Style w:val="Strong"/>
          <w:rFonts w:ascii="Times New Roman" w:hAnsi="Times New Roman" w:cs="Times New Roman"/>
        </w:rPr>
        <w:t>Logs of subsurface explorations.</w:t>
      </w:r>
      <w:r w:rsidRPr="00D2782A">
        <w:rPr>
          <w:rFonts w:ascii="Times New Roman" w:hAnsi="Times New Roman" w:cs="Times New Roman"/>
        </w:rPr>
        <w:t xml:space="preserve"> Logs of all subsurface explorations (test pits, borings, probes, etc.) evaluated in conducting any on-site investigation, signed and dated by a licensed site evaluator. Boring logs, if monitoring wells are required by subsection B, must be annotated by a certified geologist if a well driller initially </w:t>
      </w:r>
      <w:r w:rsidRPr="00D2782A">
        <w:rPr>
          <w:rFonts w:ascii="Times New Roman" w:hAnsi="Times New Roman" w:cs="Times New Roman"/>
        </w:rPr>
        <w:lastRenderedPageBreak/>
        <w:t>recorded logs. Use copies of Form F, Part III for site evaluator test pit profile logs.</w:t>
      </w:r>
    </w:p>
    <w:p w14:paraId="01F96ECB" w14:textId="77777777" w:rsidR="00C04867" w:rsidRPr="00D2782A" w:rsidRDefault="00C04867" w:rsidP="00C04867">
      <w:pPr>
        <w:pStyle w:val="ListParagraph"/>
        <w:numPr>
          <w:ilvl w:val="0"/>
          <w:numId w:val="0"/>
        </w:numPr>
        <w:ind w:left="1080"/>
        <w:rPr>
          <w:rFonts w:ascii="Times New Roman" w:hAnsi="Times New Roman" w:cs="Times New Roman"/>
        </w:rPr>
      </w:pPr>
    </w:p>
    <w:p w14:paraId="591C25B4"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Style w:val="Strong"/>
          <w:rFonts w:ascii="Times New Roman" w:hAnsi="Times New Roman" w:cs="Times New Roman"/>
        </w:rPr>
        <w:t>Additional subsurface explorations.</w:t>
      </w:r>
      <w:r w:rsidRPr="00D2782A">
        <w:rPr>
          <w:rFonts w:ascii="Times New Roman" w:hAnsi="Times New Roman" w:cs="Times New Roman"/>
        </w:rPr>
        <w:t xml:space="preserve"> Enough test pits must be provided within the footprints of all proposed wastewater disposal fields to adequately document that disposal fields can be installed entirely on soils and slopes in compliance with the Subsurface Wastewater Disposal Rules (10-144A CMR 241). Provide additional subsurface exploration data for certain soil conditions or disposal field designs, as outlined by the following:</w:t>
      </w:r>
    </w:p>
    <w:p w14:paraId="27DF60EE" w14:textId="77777777" w:rsidR="00C04867" w:rsidRPr="00D2782A" w:rsidRDefault="00C04867" w:rsidP="00C04867">
      <w:pPr>
        <w:rPr>
          <w:rFonts w:ascii="Times New Roman" w:hAnsi="Times New Roman" w:cs="Times New Roman"/>
        </w:rPr>
      </w:pPr>
    </w:p>
    <w:p w14:paraId="3F966294" w14:textId="77777777" w:rsidR="00C04867" w:rsidRPr="00D2782A" w:rsidRDefault="00C04867" w:rsidP="00C04867">
      <w:pPr>
        <w:pStyle w:val="ListParagraph"/>
        <w:numPr>
          <w:ilvl w:val="0"/>
          <w:numId w:val="73"/>
        </w:numPr>
        <w:ind w:left="1440"/>
        <w:rPr>
          <w:rFonts w:ascii="Times New Roman" w:hAnsi="Times New Roman" w:cs="Times New Roman"/>
        </w:rPr>
      </w:pPr>
      <w:r w:rsidRPr="00D2782A">
        <w:rPr>
          <w:rStyle w:val="Strong"/>
          <w:rFonts w:ascii="Times New Roman" w:hAnsi="Times New Roman" w:cs="Times New Roman"/>
        </w:rPr>
        <w:t>Soil condition AIII (bedrock depth less than 24").</w:t>
      </w:r>
      <w:r w:rsidRPr="00D2782A">
        <w:rPr>
          <w:rFonts w:ascii="Times New Roman" w:hAnsi="Times New Roman" w:cs="Times New Roman"/>
        </w:rPr>
        <w:t xml:space="preserve"> A minimum of 5 subsurface explorations: one test pit is to be centrally located within disposal field footprints, plus a subsurface exploration at each disposal field corner which may consist of either a test pit, boring, or probe.</w:t>
      </w:r>
    </w:p>
    <w:p w14:paraId="0750929F" w14:textId="77777777" w:rsidR="00C04867" w:rsidRPr="00D2782A" w:rsidRDefault="00C04867" w:rsidP="00C04867">
      <w:pPr>
        <w:pStyle w:val="ListParagraph"/>
        <w:numPr>
          <w:ilvl w:val="0"/>
          <w:numId w:val="0"/>
        </w:numPr>
        <w:ind w:left="1440"/>
        <w:rPr>
          <w:rFonts w:ascii="Times New Roman" w:hAnsi="Times New Roman" w:cs="Times New Roman"/>
        </w:rPr>
      </w:pPr>
    </w:p>
    <w:p w14:paraId="3915A2D9" w14:textId="77777777" w:rsidR="00C04867" w:rsidRPr="00D2782A" w:rsidRDefault="00C04867" w:rsidP="00C04867">
      <w:pPr>
        <w:pStyle w:val="ListParagraph"/>
        <w:numPr>
          <w:ilvl w:val="0"/>
          <w:numId w:val="73"/>
        </w:numPr>
        <w:ind w:left="1440"/>
        <w:rPr>
          <w:rFonts w:ascii="Times New Roman" w:hAnsi="Times New Roman" w:cs="Times New Roman"/>
        </w:rPr>
      </w:pPr>
      <w:r w:rsidRPr="00D2782A">
        <w:rPr>
          <w:rStyle w:val="Strong"/>
          <w:rFonts w:ascii="Times New Roman" w:hAnsi="Times New Roman" w:cs="Times New Roman"/>
        </w:rPr>
        <w:t xml:space="preserve">Soil with profile 8 or 9-parent material (lacustrine/marine deposits). </w:t>
      </w:r>
      <w:r w:rsidRPr="00D2782A">
        <w:rPr>
          <w:rFonts w:ascii="Times New Roman" w:hAnsi="Times New Roman" w:cs="Times New Roman"/>
        </w:rPr>
        <w:t>A minimum of 2 test pits: each test pit to be located near each end of disposal field footprints.</w:t>
      </w:r>
    </w:p>
    <w:p w14:paraId="0E152472" w14:textId="77777777" w:rsidR="00C04867" w:rsidRPr="00D2782A" w:rsidRDefault="00C04867" w:rsidP="00C04867">
      <w:pPr>
        <w:pStyle w:val="ListParagraph"/>
        <w:numPr>
          <w:ilvl w:val="0"/>
          <w:numId w:val="0"/>
        </w:numPr>
        <w:ind w:left="1440"/>
        <w:rPr>
          <w:rFonts w:ascii="Times New Roman" w:hAnsi="Times New Roman" w:cs="Times New Roman"/>
        </w:rPr>
      </w:pPr>
    </w:p>
    <w:p w14:paraId="5C23D313" w14:textId="77777777" w:rsidR="00C04867" w:rsidRPr="00D2782A" w:rsidRDefault="00C04867" w:rsidP="00C04867">
      <w:pPr>
        <w:pStyle w:val="ListParagraph"/>
        <w:numPr>
          <w:ilvl w:val="0"/>
          <w:numId w:val="73"/>
        </w:numPr>
        <w:ind w:left="1440"/>
        <w:rPr>
          <w:rFonts w:ascii="Times New Roman" w:hAnsi="Times New Roman" w:cs="Times New Roman"/>
        </w:rPr>
      </w:pPr>
      <w:r w:rsidRPr="00D2782A">
        <w:rPr>
          <w:rStyle w:val="Strong"/>
          <w:rFonts w:ascii="Times New Roman" w:hAnsi="Times New Roman" w:cs="Times New Roman"/>
        </w:rPr>
        <w:t>Soil condition D (limiting factor depth less than 15”).</w:t>
      </w:r>
      <w:r w:rsidRPr="00D2782A">
        <w:rPr>
          <w:rFonts w:ascii="Times New Roman" w:hAnsi="Times New Roman" w:cs="Times New Roman"/>
        </w:rPr>
        <w:t xml:space="preserve"> A minimum of 2 test pits: each test pit to be located near each end of disposal field footprints.</w:t>
      </w:r>
    </w:p>
    <w:p w14:paraId="65655971" w14:textId="77777777" w:rsidR="00C04867" w:rsidRPr="00D2782A" w:rsidRDefault="00C04867" w:rsidP="00C04867">
      <w:pPr>
        <w:pStyle w:val="ListParagraph"/>
        <w:numPr>
          <w:ilvl w:val="0"/>
          <w:numId w:val="0"/>
        </w:numPr>
        <w:ind w:left="1440"/>
        <w:rPr>
          <w:rFonts w:ascii="Times New Roman" w:hAnsi="Times New Roman" w:cs="Times New Roman"/>
        </w:rPr>
      </w:pPr>
    </w:p>
    <w:p w14:paraId="7C252036" w14:textId="77777777" w:rsidR="00C04867" w:rsidRPr="00D2782A" w:rsidRDefault="00C04867" w:rsidP="00C04867">
      <w:pPr>
        <w:pStyle w:val="ListParagraph"/>
        <w:numPr>
          <w:ilvl w:val="0"/>
          <w:numId w:val="73"/>
        </w:numPr>
        <w:ind w:left="1440"/>
        <w:rPr>
          <w:rFonts w:ascii="Times New Roman" w:hAnsi="Times New Roman" w:cs="Times New Roman"/>
        </w:rPr>
      </w:pPr>
      <w:r w:rsidRPr="00D2782A">
        <w:rPr>
          <w:rStyle w:val="Strong"/>
          <w:rFonts w:ascii="Times New Roman" w:hAnsi="Times New Roman" w:cs="Times New Roman"/>
        </w:rPr>
        <w:t>Disposal field length of 60 feet or longer.</w:t>
      </w:r>
      <w:r w:rsidRPr="00D2782A">
        <w:rPr>
          <w:rFonts w:ascii="Times New Roman" w:hAnsi="Times New Roman" w:cs="Times New Roman"/>
        </w:rPr>
        <w:t xml:space="preserve"> A minimum of 2 test pits: each test pit to be located near each end of disposal field footprints.</w:t>
      </w:r>
    </w:p>
    <w:p w14:paraId="3751A17E" w14:textId="77777777" w:rsidR="00C04867" w:rsidRPr="00D2782A" w:rsidRDefault="00C04867" w:rsidP="00C04867">
      <w:pPr>
        <w:rPr>
          <w:rFonts w:ascii="Times New Roman" w:hAnsi="Times New Roman" w:cs="Times New Roman"/>
        </w:rPr>
      </w:pPr>
    </w:p>
    <w:p w14:paraId="51AD2B93"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Style w:val="Strong"/>
          <w:rFonts w:ascii="Times New Roman" w:hAnsi="Times New Roman" w:cs="Times New Roman"/>
        </w:rPr>
        <w:t>3-bedroom design.</w:t>
      </w:r>
      <w:r w:rsidRPr="00D2782A">
        <w:rPr>
          <w:rFonts w:ascii="Times New Roman" w:hAnsi="Times New Roman" w:cs="Times New Roman"/>
        </w:rPr>
        <w:t xml:space="preserve"> For proposed residential subdivisions, investigations of soil areas for suitability for subsurface wastewater disposal and delineation of disposal system footprints at each lot must consider that all proposed subsurface wastewater disposal systems will accommodate a wastewater flow volume generated by a 3-bedroom single family dwelling, as an assumed minimum, unless common or engineered systems are proposed.</w:t>
      </w:r>
    </w:p>
    <w:p w14:paraId="7B6D8735" w14:textId="77777777" w:rsidR="00C04867" w:rsidRPr="00D2782A" w:rsidRDefault="00C04867" w:rsidP="00C04867">
      <w:pPr>
        <w:ind w:left="1080"/>
        <w:rPr>
          <w:rFonts w:ascii="Times New Roman" w:hAnsi="Times New Roman" w:cs="Times New Roman"/>
        </w:rPr>
      </w:pPr>
    </w:p>
    <w:p w14:paraId="33E8F02B" w14:textId="77777777" w:rsidR="00C04867" w:rsidRPr="00D2782A" w:rsidRDefault="00C04867" w:rsidP="00C04867">
      <w:pPr>
        <w:pStyle w:val="ListParagraph"/>
        <w:numPr>
          <w:ilvl w:val="0"/>
          <w:numId w:val="72"/>
        </w:numPr>
        <w:ind w:left="1080"/>
        <w:rPr>
          <w:rFonts w:ascii="Times New Roman" w:hAnsi="Times New Roman" w:cs="Times New Roman"/>
        </w:rPr>
      </w:pPr>
      <w:r w:rsidRPr="00D2782A">
        <w:rPr>
          <w:rStyle w:val="Strong"/>
          <w:rFonts w:ascii="Times New Roman" w:hAnsi="Times New Roman" w:cs="Times New Roman"/>
        </w:rPr>
        <w:t>Larger disposal systems.</w:t>
      </w:r>
      <w:r w:rsidRPr="00D2782A">
        <w:rPr>
          <w:rFonts w:ascii="Times New Roman" w:hAnsi="Times New Roman" w:cs="Times New Roman"/>
        </w:rPr>
        <w:t xml:space="preserve"> If sewage disposal is to be provided by one or more systems serving 2 or more residences (e.g. common systems), or with design flow(s) greater than 500 gallons per day, provide the following additional information if determined to be necessary by the department. Note that approval by the Department of Health &amp; Human Services’ (DHHS) Division of Health Engineering is also required for engineered disposal systems (design flows of 2000 gallons or more per day), and that disposal of any wastewater other than normal domestic sanitary wastewater or the equivalent may require a waste discharge license from the Division of Water Resource Regulation. DHHS approval does not exempt a disposal system from the requirements of Subsection B of this section, or other water quality requirements determined to be applicable by the department.</w:t>
      </w:r>
    </w:p>
    <w:p w14:paraId="0A527B77" w14:textId="77777777" w:rsidR="00C04867" w:rsidRPr="00D2782A" w:rsidRDefault="00C04867" w:rsidP="00C04867">
      <w:pPr>
        <w:rPr>
          <w:rFonts w:ascii="Times New Roman" w:hAnsi="Times New Roman" w:cs="Times New Roman"/>
        </w:rPr>
      </w:pPr>
    </w:p>
    <w:p w14:paraId="19572F8B" w14:textId="77777777" w:rsidR="00C04867" w:rsidRPr="00D2782A" w:rsidRDefault="00C04867" w:rsidP="00C04867">
      <w:pPr>
        <w:pStyle w:val="ListParagraph"/>
        <w:numPr>
          <w:ilvl w:val="0"/>
          <w:numId w:val="74"/>
        </w:numPr>
        <w:rPr>
          <w:rFonts w:ascii="Times New Roman" w:hAnsi="Times New Roman" w:cs="Times New Roman"/>
        </w:rPr>
      </w:pPr>
      <w:r w:rsidRPr="00D2782A">
        <w:rPr>
          <w:rStyle w:val="Strong"/>
          <w:rFonts w:ascii="Times New Roman" w:hAnsi="Times New Roman" w:cs="Times New Roman"/>
        </w:rPr>
        <w:t>System design details.</w:t>
      </w:r>
      <w:r w:rsidRPr="00D2782A">
        <w:rPr>
          <w:rFonts w:ascii="Times New Roman" w:hAnsi="Times New Roman" w:cs="Times New Roman"/>
        </w:rPr>
        <w:t xml:space="preserve"> Provide design flow criteria, system sizing calculations and indicate system type (e.g. trench, bed, chambers, tubes, etc.), and other relevant information including materials specifications and installation details.</w:t>
      </w:r>
    </w:p>
    <w:p w14:paraId="40C79A86" w14:textId="77777777" w:rsidR="00C04867" w:rsidRPr="00D2782A" w:rsidRDefault="00C04867" w:rsidP="00C04867">
      <w:pPr>
        <w:pStyle w:val="ListParagraph"/>
        <w:numPr>
          <w:ilvl w:val="0"/>
          <w:numId w:val="0"/>
        </w:numPr>
        <w:ind w:left="720"/>
        <w:rPr>
          <w:rFonts w:ascii="Times New Roman" w:hAnsi="Times New Roman" w:cs="Times New Roman"/>
        </w:rPr>
      </w:pPr>
    </w:p>
    <w:p w14:paraId="447FD4E8" w14:textId="77777777" w:rsidR="00C04867" w:rsidRPr="00D2782A" w:rsidRDefault="00C04867" w:rsidP="00C04867">
      <w:pPr>
        <w:pStyle w:val="ListParagraph"/>
        <w:numPr>
          <w:ilvl w:val="0"/>
          <w:numId w:val="74"/>
        </w:numPr>
        <w:rPr>
          <w:rFonts w:ascii="Times New Roman" w:hAnsi="Times New Roman" w:cs="Times New Roman"/>
        </w:rPr>
      </w:pPr>
      <w:r w:rsidRPr="00D2782A">
        <w:rPr>
          <w:rStyle w:val="Strong"/>
          <w:rFonts w:ascii="Times New Roman" w:hAnsi="Times New Roman" w:cs="Times New Roman"/>
        </w:rPr>
        <w:t>Plan view.</w:t>
      </w:r>
      <w:r w:rsidRPr="00D2782A">
        <w:rPr>
          <w:rFonts w:ascii="Times New Roman" w:hAnsi="Times New Roman" w:cs="Times New Roman"/>
        </w:rPr>
        <w:t xml:space="preserve"> Plan view showing the layout of the system including limits of the </w:t>
      </w:r>
      <w:r w:rsidRPr="00D2782A">
        <w:rPr>
          <w:rFonts w:ascii="Times New Roman" w:hAnsi="Times New Roman" w:cs="Times New Roman"/>
        </w:rPr>
        <w:lastRenderedPageBreak/>
        <w:t>disposal field and backfill extensions, piping network, chamber arrangements within each system (if applicable), septic tank(s), pump/dosing chamber(s) (if applicable), direction of ground surface slope, description/locations of benchmarks (elevation reference points), locations of control points for determining disposal field location on-site and identification/labeling of disposal system components.</w:t>
      </w:r>
    </w:p>
    <w:p w14:paraId="77179408" w14:textId="77777777" w:rsidR="00C04867" w:rsidRPr="00D2782A" w:rsidRDefault="00C04867" w:rsidP="00C04867">
      <w:pPr>
        <w:pStyle w:val="ListParagraph"/>
        <w:numPr>
          <w:ilvl w:val="0"/>
          <w:numId w:val="0"/>
        </w:numPr>
        <w:ind w:left="720"/>
        <w:rPr>
          <w:rFonts w:ascii="Times New Roman" w:hAnsi="Times New Roman" w:cs="Times New Roman"/>
        </w:rPr>
      </w:pPr>
    </w:p>
    <w:p w14:paraId="5E96E93F" w14:textId="77777777" w:rsidR="00C04867" w:rsidRPr="00D2782A" w:rsidRDefault="00C04867" w:rsidP="00C04867">
      <w:pPr>
        <w:pStyle w:val="ListParagraph"/>
        <w:numPr>
          <w:ilvl w:val="0"/>
          <w:numId w:val="74"/>
        </w:numPr>
        <w:rPr>
          <w:rFonts w:ascii="Times New Roman" w:hAnsi="Times New Roman" w:cs="Times New Roman"/>
        </w:rPr>
      </w:pPr>
      <w:r w:rsidRPr="00D2782A">
        <w:rPr>
          <w:rStyle w:val="Strong"/>
          <w:rFonts w:ascii="Times New Roman" w:hAnsi="Times New Roman" w:cs="Times New Roman"/>
        </w:rPr>
        <w:t>Cross-sections.</w:t>
      </w:r>
      <w:r w:rsidRPr="00D2782A">
        <w:rPr>
          <w:rFonts w:ascii="Times New Roman" w:hAnsi="Times New Roman" w:cs="Times New Roman"/>
        </w:rPr>
        <w:t xml:space="preserve"> Cross-sections of the proposed disposal field(s) showing details such as proposed elevations, fill depths, limits of backfill extensions, thickness/depth of disposal fields and identification/labeling of disposal system components.</w:t>
      </w:r>
    </w:p>
    <w:p w14:paraId="5E7EF6EB" w14:textId="77777777" w:rsidR="00C04867" w:rsidRPr="00D2782A" w:rsidRDefault="00C04867" w:rsidP="00C04867">
      <w:pPr>
        <w:pStyle w:val="ListParagraph"/>
        <w:numPr>
          <w:ilvl w:val="0"/>
          <w:numId w:val="0"/>
        </w:numPr>
        <w:ind w:left="720"/>
        <w:rPr>
          <w:rFonts w:ascii="Times New Roman" w:hAnsi="Times New Roman" w:cs="Times New Roman"/>
        </w:rPr>
      </w:pPr>
    </w:p>
    <w:p w14:paraId="47D377D4" w14:textId="77777777" w:rsidR="00C04867" w:rsidRPr="00D2782A" w:rsidRDefault="00C04867" w:rsidP="00C04867">
      <w:pPr>
        <w:pStyle w:val="ListParagraph"/>
        <w:numPr>
          <w:ilvl w:val="0"/>
          <w:numId w:val="74"/>
        </w:numPr>
        <w:rPr>
          <w:rFonts w:ascii="Times New Roman" w:hAnsi="Times New Roman" w:cs="Times New Roman"/>
        </w:rPr>
      </w:pPr>
      <w:r w:rsidRPr="00D2782A">
        <w:rPr>
          <w:rStyle w:val="Strong"/>
          <w:rFonts w:ascii="Times New Roman" w:hAnsi="Times New Roman" w:cs="Times New Roman"/>
        </w:rPr>
        <w:t>Test pit data.</w:t>
      </w:r>
      <w:r w:rsidRPr="00D2782A">
        <w:rPr>
          <w:rFonts w:ascii="Times New Roman" w:hAnsi="Times New Roman" w:cs="Times New Roman"/>
        </w:rPr>
        <w:t xml:space="preserve"> Provide sufficient test pit data to verify that adequate soils exist for the entire dimensions of the proposed disposal system. At a minimum, a licensed site evaluator must provide test pit profile data from each corner and a central point within the proposed field or fields. In addition, provide ground surface elevations, referenced to a benchmark or elevation reference point, at all test pits located within the disposal field footprint(s).</w:t>
      </w:r>
    </w:p>
    <w:p w14:paraId="16A8CD6B" w14:textId="77777777" w:rsidR="00C04867" w:rsidRPr="00D2782A" w:rsidRDefault="00C04867" w:rsidP="00C04867">
      <w:pPr>
        <w:pStyle w:val="ListParagraph"/>
        <w:numPr>
          <w:ilvl w:val="0"/>
          <w:numId w:val="0"/>
        </w:numPr>
        <w:ind w:left="720"/>
        <w:rPr>
          <w:rFonts w:ascii="Times New Roman" w:hAnsi="Times New Roman" w:cs="Times New Roman"/>
        </w:rPr>
      </w:pPr>
    </w:p>
    <w:p w14:paraId="64DD4DB2" w14:textId="77777777" w:rsidR="00C04867" w:rsidRPr="00D2782A" w:rsidRDefault="00C04867" w:rsidP="00C04867">
      <w:pPr>
        <w:pStyle w:val="ListParagraph"/>
        <w:numPr>
          <w:ilvl w:val="0"/>
          <w:numId w:val="74"/>
        </w:numPr>
        <w:rPr>
          <w:rFonts w:ascii="Times New Roman" w:hAnsi="Times New Roman" w:cs="Times New Roman"/>
        </w:rPr>
      </w:pPr>
      <w:r w:rsidRPr="00D2782A">
        <w:rPr>
          <w:rStyle w:val="Strong"/>
          <w:rFonts w:ascii="Times New Roman" w:hAnsi="Times New Roman" w:cs="Times New Roman"/>
        </w:rPr>
        <w:t>Mounding analysis.</w:t>
      </w:r>
      <w:r w:rsidRPr="00D2782A">
        <w:rPr>
          <w:rFonts w:ascii="Times New Roman" w:hAnsi="Times New Roman" w:cs="Times New Roman"/>
        </w:rPr>
        <w:t xml:space="preserve"> For engineered systems, provide a mounding analysis by a registered professional engineer of the expected localized rise in the saturated zone in order to determine that an adequate vertical separation distance is specified in the system design between the bottom of the disposal field and any mounded water table.</w:t>
      </w:r>
    </w:p>
    <w:p w14:paraId="18FA9EFA" w14:textId="77777777" w:rsidR="00C04867" w:rsidRPr="00D2782A" w:rsidRDefault="00C04867" w:rsidP="00C04867">
      <w:pPr>
        <w:rPr>
          <w:rFonts w:ascii="Times New Roman" w:hAnsi="Times New Roman" w:cs="Times New Roman"/>
        </w:rPr>
      </w:pPr>
    </w:p>
    <w:p w14:paraId="61B19337" w14:textId="77777777" w:rsidR="00C04867" w:rsidRPr="00D2782A" w:rsidRDefault="00C04867" w:rsidP="00C04867">
      <w:pPr>
        <w:pStyle w:val="ListParagraph"/>
        <w:numPr>
          <w:ilvl w:val="0"/>
          <w:numId w:val="71"/>
        </w:numPr>
        <w:rPr>
          <w:rFonts w:ascii="Times New Roman" w:hAnsi="Times New Roman" w:cs="Times New Roman"/>
        </w:rPr>
      </w:pPr>
      <w:r w:rsidRPr="00D2782A">
        <w:rPr>
          <w:rFonts w:ascii="Times New Roman" w:hAnsi="Times New Roman" w:cs="Times New Roman"/>
        </w:rPr>
        <w:t>Nitrate-nitrogen impact assessment</w:t>
      </w:r>
    </w:p>
    <w:p w14:paraId="7469A03C" w14:textId="77777777" w:rsidR="00C04867" w:rsidRPr="00D2782A" w:rsidRDefault="00C04867" w:rsidP="00C04867">
      <w:pPr>
        <w:rPr>
          <w:rFonts w:ascii="Times New Roman" w:hAnsi="Times New Roman" w:cs="Times New Roman"/>
        </w:rPr>
      </w:pPr>
    </w:p>
    <w:p w14:paraId="13351649" w14:textId="77777777" w:rsidR="00C04867" w:rsidRPr="00D2782A" w:rsidRDefault="00C04867" w:rsidP="00C04867">
      <w:pPr>
        <w:pStyle w:val="ListParagraph"/>
        <w:numPr>
          <w:ilvl w:val="0"/>
          <w:numId w:val="75"/>
        </w:numPr>
        <w:ind w:left="1080"/>
        <w:rPr>
          <w:rFonts w:ascii="Times New Roman" w:hAnsi="Times New Roman" w:cs="Times New Roman"/>
        </w:rPr>
      </w:pPr>
      <w:r w:rsidRPr="00D2782A">
        <w:rPr>
          <w:rStyle w:val="Strong"/>
          <w:rFonts w:ascii="Times New Roman" w:hAnsi="Times New Roman" w:cs="Times New Roman"/>
        </w:rPr>
        <w:t>When required.</w:t>
      </w:r>
      <w:r w:rsidRPr="00D2782A">
        <w:rPr>
          <w:rFonts w:ascii="Times New Roman" w:hAnsi="Times New Roman" w:cs="Times New Roman"/>
        </w:rPr>
        <w:t xml:space="preserve"> For all subsurface wastewater disposal systems proposed at the development, provide an assessment report by a certified geologist of the effect of nitrate- nitrogen (NO3-N) on groundwater quality, demonstrating that the concentration of NO3-N in contaminant plumes from the on-site disposal systems will not exceed 10 mg/l at the downgradient project boundary, or at any existing/proposed water supply well located downgradient of the systems.</w:t>
      </w:r>
    </w:p>
    <w:p w14:paraId="76A4A4FD" w14:textId="77777777" w:rsidR="00C04867" w:rsidRPr="00D2782A" w:rsidRDefault="00C04867" w:rsidP="00C04867">
      <w:pPr>
        <w:rPr>
          <w:rFonts w:ascii="Times New Roman" w:hAnsi="Times New Roman" w:cs="Times New Roman"/>
        </w:rPr>
      </w:pPr>
    </w:p>
    <w:p w14:paraId="255A8023" w14:textId="77777777" w:rsidR="00C04867" w:rsidRPr="00D2782A" w:rsidRDefault="00C04867" w:rsidP="00C04867">
      <w:pPr>
        <w:pStyle w:val="ListParagraph"/>
        <w:numPr>
          <w:ilvl w:val="0"/>
          <w:numId w:val="76"/>
        </w:numPr>
        <w:ind w:left="1440"/>
        <w:rPr>
          <w:rFonts w:ascii="Times New Roman" w:hAnsi="Times New Roman" w:cs="Times New Roman"/>
        </w:rPr>
      </w:pPr>
      <w:r w:rsidRPr="00D2782A">
        <w:rPr>
          <w:rStyle w:val="Strong"/>
          <w:rFonts w:ascii="Times New Roman" w:hAnsi="Times New Roman" w:cs="Times New Roman"/>
        </w:rPr>
        <w:t>Exemptions.</w:t>
      </w:r>
      <w:r w:rsidRPr="00D2782A">
        <w:rPr>
          <w:rFonts w:ascii="Times New Roman" w:hAnsi="Times New Roman" w:cs="Times New Roman"/>
        </w:rPr>
        <w:t xml:space="preserve"> The following subsurface wastewater disposal systems are exempt from a NO3-N impact assessment requirement:</w:t>
      </w:r>
    </w:p>
    <w:p w14:paraId="1BF28CDE" w14:textId="77777777" w:rsidR="00C04867" w:rsidRPr="00D2782A" w:rsidRDefault="00C04867" w:rsidP="00C04867">
      <w:pPr>
        <w:rPr>
          <w:rFonts w:ascii="Times New Roman" w:hAnsi="Times New Roman" w:cs="Times New Roman"/>
        </w:rPr>
      </w:pPr>
    </w:p>
    <w:p w14:paraId="4312E56F" w14:textId="77777777" w:rsidR="00C04867" w:rsidRPr="00D2782A" w:rsidRDefault="00C04867" w:rsidP="00C04867">
      <w:pPr>
        <w:pStyle w:val="ListParagraph"/>
        <w:numPr>
          <w:ilvl w:val="0"/>
          <w:numId w:val="77"/>
        </w:numPr>
        <w:ind w:left="1980" w:hanging="540"/>
        <w:rPr>
          <w:rFonts w:ascii="Times New Roman" w:hAnsi="Times New Roman" w:cs="Times New Roman"/>
        </w:rPr>
      </w:pPr>
      <w:r w:rsidRPr="00D2782A">
        <w:rPr>
          <w:rFonts w:ascii="Times New Roman" w:hAnsi="Times New Roman" w:cs="Times New Roman"/>
        </w:rPr>
        <w:t>Conventional disposal systems: Systems disposing of less than 300 gallons per day (gpd) of domestic wastewater (as defined in the Maine Subsurface Wastewater Disposal Rules, 10-144A CMR 241), if setbacks are maintained between disposal fields and downgradient project boundaries, or downgradient existing or proposed water supply wells, as determined by the soil profile and geologic conditions, according to the following table:</w:t>
      </w:r>
    </w:p>
    <w:p w14:paraId="46F8A36C" w14:textId="77777777" w:rsidR="00C04867" w:rsidRPr="00D2782A" w:rsidRDefault="00C04867" w:rsidP="00C04867">
      <w:pPr>
        <w:pStyle w:val="ListParagraph"/>
        <w:numPr>
          <w:ilvl w:val="0"/>
          <w:numId w:val="0"/>
        </w:numPr>
        <w:ind w:left="1980"/>
        <w:rPr>
          <w:rFonts w:ascii="Times New Roman" w:hAnsi="Times New Roman" w:cs="Times New Roman"/>
        </w:rPr>
      </w:pPr>
    </w:p>
    <w:tbl>
      <w:tblPr>
        <w:tblStyle w:val="TableGrid"/>
        <w:tblW w:w="0" w:type="auto"/>
        <w:tblInd w:w="1525" w:type="dxa"/>
        <w:tblLook w:val="04A0" w:firstRow="1" w:lastRow="0" w:firstColumn="1" w:lastColumn="0" w:noHBand="0" w:noVBand="1"/>
      </w:tblPr>
      <w:tblGrid>
        <w:gridCol w:w="3060"/>
        <w:gridCol w:w="2160"/>
        <w:gridCol w:w="2605"/>
      </w:tblGrid>
      <w:tr w:rsidR="00C04867" w:rsidRPr="00D2782A" w14:paraId="6B983604" w14:textId="77777777" w:rsidTr="00DA34EF">
        <w:trPr>
          <w:trHeight w:val="620"/>
        </w:trPr>
        <w:tc>
          <w:tcPr>
            <w:tcW w:w="3060" w:type="dxa"/>
            <w:shd w:val="clear" w:color="auto" w:fill="EEECE1" w:themeFill="background2"/>
            <w:vAlign w:val="center"/>
          </w:tcPr>
          <w:p w14:paraId="4BA246BE"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Distance to Downgradient project Boundary or Wells</w:t>
            </w:r>
          </w:p>
        </w:tc>
        <w:tc>
          <w:tcPr>
            <w:tcW w:w="2160" w:type="dxa"/>
            <w:shd w:val="clear" w:color="auto" w:fill="EEECE1" w:themeFill="background2"/>
            <w:vAlign w:val="center"/>
          </w:tcPr>
          <w:p w14:paraId="2B80BF1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Soil Profile &amp; Condition*</w:t>
            </w:r>
          </w:p>
        </w:tc>
        <w:tc>
          <w:tcPr>
            <w:tcW w:w="2605" w:type="dxa"/>
            <w:shd w:val="clear" w:color="auto" w:fill="EEECE1" w:themeFill="background2"/>
            <w:vAlign w:val="center"/>
          </w:tcPr>
          <w:p w14:paraId="052EB31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Geologic Conditions</w:t>
            </w:r>
          </w:p>
        </w:tc>
      </w:tr>
      <w:tr w:rsidR="00C04867" w:rsidRPr="00D2782A" w14:paraId="4CF86A1F" w14:textId="77777777" w:rsidTr="00DA34EF">
        <w:trPr>
          <w:trHeight w:val="611"/>
        </w:trPr>
        <w:tc>
          <w:tcPr>
            <w:tcW w:w="3060" w:type="dxa"/>
            <w:vAlign w:val="center"/>
          </w:tcPr>
          <w:p w14:paraId="495D230D"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300 feet or more</w:t>
            </w:r>
          </w:p>
        </w:tc>
        <w:tc>
          <w:tcPr>
            <w:tcW w:w="2160" w:type="dxa"/>
            <w:vAlign w:val="center"/>
          </w:tcPr>
          <w:p w14:paraId="15167D45"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Soil Condition A</w:t>
            </w:r>
          </w:p>
        </w:tc>
        <w:tc>
          <w:tcPr>
            <w:tcW w:w="2605" w:type="dxa"/>
            <w:vAlign w:val="center"/>
          </w:tcPr>
          <w:p w14:paraId="1AD087DA"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 xml:space="preserve">Bedrock Depth at </w:t>
            </w:r>
            <w:r w:rsidRPr="00D2782A">
              <w:rPr>
                <w:rFonts w:ascii="Times New Roman" w:hAnsi="Times New Roman" w:cs="Times New Roman"/>
              </w:rPr>
              <w:br/>
              <w:t>36 inches or less</w:t>
            </w:r>
          </w:p>
        </w:tc>
      </w:tr>
      <w:tr w:rsidR="00C04867" w:rsidRPr="00D2782A" w14:paraId="3CEEB448" w14:textId="77777777" w:rsidTr="00DA34EF">
        <w:trPr>
          <w:trHeight w:val="629"/>
        </w:trPr>
        <w:tc>
          <w:tcPr>
            <w:tcW w:w="3060" w:type="dxa"/>
            <w:vAlign w:val="center"/>
          </w:tcPr>
          <w:p w14:paraId="710BFC6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lastRenderedPageBreak/>
              <w:t>300 feet or more</w:t>
            </w:r>
          </w:p>
        </w:tc>
        <w:tc>
          <w:tcPr>
            <w:tcW w:w="2160" w:type="dxa"/>
            <w:vAlign w:val="center"/>
          </w:tcPr>
          <w:p w14:paraId="73DDFC43"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Soil Profiles</w:t>
            </w:r>
            <w:r w:rsidRPr="00D2782A">
              <w:rPr>
                <w:rFonts w:ascii="Times New Roman" w:hAnsi="Times New Roman" w:cs="Times New Roman"/>
              </w:rPr>
              <w:br/>
              <w:t>4, 5, or 6</w:t>
            </w:r>
          </w:p>
        </w:tc>
        <w:tc>
          <w:tcPr>
            <w:tcW w:w="2605" w:type="dxa"/>
            <w:vAlign w:val="center"/>
          </w:tcPr>
          <w:p w14:paraId="26238D4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 xml:space="preserve">Ablation Till </w:t>
            </w:r>
            <w:r w:rsidRPr="00D2782A">
              <w:rPr>
                <w:rFonts w:ascii="Times New Roman" w:hAnsi="Times New Roman" w:cs="Times New Roman"/>
              </w:rPr>
              <w:br/>
              <w:t>and Stratified Drift</w:t>
            </w:r>
          </w:p>
        </w:tc>
      </w:tr>
      <w:tr w:rsidR="00C04867" w:rsidRPr="00D2782A" w14:paraId="616ED6A8" w14:textId="77777777" w:rsidTr="00DA34EF">
        <w:trPr>
          <w:trHeight w:val="611"/>
        </w:trPr>
        <w:tc>
          <w:tcPr>
            <w:tcW w:w="3060" w:type="dxa"/>
            <w:vAlign w:val="center"/>
          </w:tcPr>
          <w:p w14:paraId="2C86F47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200 feet or more</w:t>
            </w:r>
          </w:p>
        </w:tc>
        <w:tc>
          <w:tcPr>
            <w:tcW w:w="2160" w:type="dxa"/>
            <w:vAlign w:val="center"/>
          </w:tcPr>
          <w:p w14:paraId="505C5510"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 xml:space="preserve">All Other </w:t>
            </w:r>
            <w:r w:rsidRPr="00D2782A">
              <w:rPr>
                <w:rFonts w:ascii="Times New Roman" w:hAnsi="Times New Roman" w:cs="Times New Roman"/>
              </w:rPr>
              <w:br/>
              <w:t>Suitable Profiles</w:t>
            </w:r>
          </w:p>
        </w:tc>
        <w:tc>
          <w:tcPr>
            <w:tcW w:w="2605" w:type="dxa"/>
            <w:vAlign w:val="center"/>
          </w:tcPr>
          <w:p w14:paraId="013821A1" w14:textId="77777777" w:rsidR="00C04867" w:rsidRPr="00D2782A" w:rsidRDefault="00C04867" w:rsidP="00DA34EF">
            <w:pPr>
              <w:pStyle w:val="BodyText"/>
              <w:rPr>
                <w:rFonts w:ascii="Times New Roman" w:hAnsi="Times New Roman" w:cs="Times New Roman"/>
              </w:rPr>
            </w:pPr>
            <w:r w:rsidRPr="00D2782A">
              <w:rPr>
                <w:rFonts w:ascii="Times New Roman" w:hAnsi="Times New Roman" w:cs="Times New Roman"/>
              </w:rPr>
              <w:t xml:space="preserve">Deep Tills, Marine, </w:t>
            </w:r>
            <w:r w:rsidRPr="00D2782A">
              <w:rPr>
                <w:rFonts w:ascii="Times New Roman" w:hAnsi="Times New Roman" w:cs="Times New Roman"/>
              </w:rPr>
              <w:br/>
              <w:t>and Lacustrine Deposits</w:t>
            </w:r>
          </w:p>
        </w:tc>
      </w:tr>
    </w:tbl>
    <w:p w14:paraId="742DDB92" w14:textId="77777777" w:rsidR="00C04867" w:rsidRPr="00D2782A" w:rsidRDefault="00C04867" w:rsidP="00C04867">
      <w:pPr>
        <w:rPr>
          <w:rFonts w:ascii="Times New Roman" w:hAnsi="Times New Roman" w:cs="Times New Roman"/>
          <w:sz w:val="18"/>
          <w:szCs w:val="18"/>
        </w:rPr>
      </w:pPr>
    </w:p>
    <w:p w14:paraId="1E4D74F7" w14:textId="77777777" w:rsidR="00C04867" w:rsidRPr="00D2782A" w:rsidRDefault="00C04867" w:rsidP="00C04867">
      <w:pPr>
        <w:ind w:left="1440"/>
        <w:rPr>
          <w:rFonts w:ascii="Times New Roman" w:hAnsi="Times New Roman" w:cs="Times New Roman"/>
          <w:i/>
          <w:iCs/>
          <w:sz w:val="24"/>
          <w:szCs w:val="24"/>
        </w:rPr>
      </w:pPr>
      <w:r w:rsidRPr="00D2782A">
        <w:rPr>
          <w:rFonts w:ascii="Times New Roman" w:hAnsi="Times New Roman" w:cs="Times New Roman"/>
          <w:i/>
          <w:iCs/>
          <w:sz w:val="24"/>
          <w:szCs w:val="24"/>
        </w:rPr>
        <w:t>*As classified by Table 600.1 of the Maine Subsurface Wastewater Disposal Rules (10-144A CMR 241).</w:t>
      </w:r>
    </w:p>
    <w:p w14:paraId="1C8CE433" w14:textId="77777777" w:rsidR="00C04867" w:rsidRPr="00D2782A" w:rsidRDefault="00C04867" w:rsidP="00C04867">
      <w:pPr>
        <w:rPr>
          <w:rFonts w:ascii="Times New Roman" w:hAnsi="Times New Roman" w:cs="Times New Roman"/>
        </w:rPr>
      </w:pPr>
    </w:p>
    <w:p w14:paraId="641B4268" w14:textId="77777777" w:rsidR="00C04867" w:rsidRPr="00D2782A" w:rsidRDefault="00C04867" w:rsidP="00C04867">
      <w:pPr>
        <w:pStyle w:val="ListParagraph"/>
        <w:numPr>
          <w:ilvl w:val="0"/>
          <w:numId w:val="77"/>
        </w:numPr>
        <w:ind w:left="1980" w:hanging="540"/>
        <w:rPr>
          <w:rFonts w:ascii="Times New Roman" w:hAnsi="Times New Roman" w:cs="Times New Roman"/>
        </w:rPr>
      </w:pPr>
      <w:r w:rsidRPr="00D2782A">
        <w:rPr>
          <w:rFonts w:ascii="Times New Roman" w:hAnsi="Times New Roman" w:cs="Times New Roman"/>
        </w:rPr>
        <w:t>Denitrification systems. Acceptable setbacks between disposal fields and downgradient project boundaries, or existing or proposed water supply wells to be determined from research data showing efficiency of the system design in reducing total nitrogen in the wastewater.</w:t>
      </w:r>
    </w:p>
    <w:p w14:paraId="04CF6D5F" w14:textId="77777777" w:rsidR="00C04867" w:rsidRPr="00D2782A" w:rsidRDefault="00C04867" w:rsidP="00C04867">
      <w:pPr>
        <w:rPr>
          <w:rFonts w:ascii="Times New Roman" w:hAnsi="Times New Roman" w:cs="Times New Roman"/>
        </w:rPr>
      </w:pPr>
    </w:p>
    <w:p w14:paraId="24A383F8" w14:textId="77777777" w:rsidR="00C04867" w:rsidRPr="00D2782A" w:rsidRDefault="00C04867" w:rsidP="00C04867">
      <w:pPr>
        <w:pStyle w:val="ListParagraph"/>
        <w:numPr>
          <w:ilvl w:val="0"/>
          <w:numId w:val="76"/>
        </w:numPr>
        <w:ind w:left="1440"/>
        <w:rPr>
          <w:rFonts w:ascii="Times New Roman" w:hAnsi="Times New Roman" w:cs="Times New Roman"/>
        </w:rPr>
      </w:pPr>
      <w:r w:rsidRPr="00D2782A">
        <w:rPr>
          <w:rStyle w:val="Strong"/>
          <w:rFonts w:ascii="Times New Roman" w:hAnsi="Times New Roman" w:cs="Times New Roman"/>
        </w:rPr>
        <w:t>Special conditions and other exemptions.</w:t>
      </w:r>
      <w:r w:rsidRPr="00D2782A">
        <w:rPr>
          <w:rFonts w:ascii="Times New Roman" w:hAnsi="Times New Roman" w:cs="Times New Roman"/>
        </w:rPr>
        <w:t xml:space="preserve"> The department reserves the right to require a NO3-N impact assessment for disposal systems described in subsection B.1.a above, if conditions warrant, as determined at a pre-application meeting. The department may exempt larger individual disposal systems, and common and engineered systems, from the NO3-N assessment requirement, on a case-by-case basis, provided that compliance with the intent of this subsection can be demonstrated.</w:t>
      </w:r>
    </w:p>
    <w:p w14:paraId="300A8C40" w14:textId="77777777" w:rsidR="00C04867" w:rsidRPr="00D2782A" w:rsidRDefault="00C04867" w:rsidP="00C04867">
      <w:pPr>
        <w:rPr>
          <w:rFonts w:ascii="Times New Roman" w:hAnsi="Times New Roman" w:cs="Times New Roman"/>
        </w:rPr>
      </w:pPr>
    </w:p>
    <w:p w14:paraId="1FB32DD9" w14:textId="77777777" w:rsidR="00C04867" w:rsidRPr="00D2782A" w:rsidRDefault="00C04867" w:rsidP="00C04867">
      <w:pPr>
        <w:pStyle w:val="ListParagraph"/>
        <w:numPr>
          <w:ilvl w:val="0"/>
          <w:numId w:val="75"/>
        </w:numPr>
        <w:ind w:left="1080"/>
        <w:rPr>
          <w:rFonts w:ascii="Times New Roman" w:hAnsi="Times New Roman" w:cs="Times New Roman"/>
        </w:rPr>
      </w:pPr>
      <w:r w:rsidRPr="00D2782A">
        <w:rPr>
          <w:rStyle w:val="Strong"/>
          <w:rFonts w:ascii="Times New Roman" w:hAnsi="Times New Roman" w:cs="Times New Roman"/>
        </w:rPr>
        <w:t>Assumptions.</w:t>
      </w:r>
      <w:r w:rsidRPr="00D2782A">
        <w:rPr>
          <w:rFonts w:ascii="Times New Roman" w:hAnsi="Times New Roman" w:cs="Times New Roman"/>
        </w:rPr>
        <w:t xml:space="preserve"> Assumptions include but may not be limited to the following:</w:t>
      </w:r>
    </w:p>
    <w:p w14:paraId="37F292F5" w14:textId="77777777" w:rsidR="00C04867" w:rsidRPr="00D2782A" w:rsidRDefault="00C04867" w:rsidP="00C04867">
      <w:pPr>
        <w:rPr>
          <w:rFonts w:ascii="Times New Roman" w:hAnsi="Times New Roman" w:cs="Times New Roman"/>
        </w:rPr>
      </w:pPr>
    </w:p>
    <w:p w14:paraId="6FFC9286"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Initial concentration.</w:t>
      </w:r>
      <w:r w:rsidRPr="00D2782A">
        <w:rPr>
          <w:rFonts w:ascii="Times New Roman" w:hAnsi="Times New Roman" w:cs="Times New Roman"/>
        </w:rPr>
        <w:t xml:space="preserve"> For conventional systems, assume that NO3-N initially enters the groundwater at a concentration of 40 mg/l. For denitrification systems or conventional systems that include a denitrifying component or components, the initial NO3-N concentration must be determined on a case-by-case basis from valid field test data provided by the designer and/or manufacturer of the proposed denitrification system.</w:t>
      </w:r>
    </w:p>
    <w:p w14:paraId="478E107F" w14:textId="77777777" w:rsidR="00C04867" w:rsidRPr="00D2782A" w:rsidRDefault="00C04867" w:rsidP="00C04867">
      <w:pPr>
        <w:pStyle w:val="ListParagraph"/>
        <w:numPr>
          <w:ilvl w:val="0"/>
          <w:numId w:val="0"/>
        </w:numPr>
        <w:ind w:left="1440"/>
        <w:rPr>
          <w:rFonts w:ascii="Times New Roman" w:hAnsi="Times New Roman" w:cs="Times New Roman"/>
        </w:rPr>
      </w:pPr>
    </w:p>
    <w:p w14:paraId="301BAEAE"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Background concentration.</w:t>
      </w:r>
      <w:r w:rsidRPr="00D2782A">
        <w:rPr>
          <w:rFonts w:ascii="Times New Roman" w:hAnsi="Times New Roman" w:cs="Times New Roman"/>
        </w:rPr>
        <w:t xml:space="preserve"> In lieu of on-site water quality analyses, assume a background groundwater NO3-N concentration of 2.0 mg/l provided that the site is undeveloped and no adjacent development exists upgradient of the site, unless the department or the investigating geologist suspects that the background NO3-N concentration in the groundwater is greater. Water quality data from off-site or on-site wells may be acceptable provided that the samples are determined by the department to be reasonably representative of shallow groundwater quality conditions at the site.</w:t>
      </w:r>
    </w:p>
    <w:p w14:paraId="31091B2F" w14:textId="77777777" w:rsidR="00C04867" w:rsidRPr="00D2782A" w:rsidRDefault="00C04867" w:rsidP="00C04867">
      <w:pPr>
        <w:pStyle w:val="ListParagraph"/>
        <w:numPr>
          <w:ilvl w:val="0"/>
          <w:numId w:val="0"/>
        </w:numPr>
        <w:ind w:left="1440"/>
        <w:rPr>
          <w:rFonts w:ascii="Times New Roman" w:hAnsi="Times New Roman" w:cs="Times New Roman"/>
        </w:rPr>
      </w:pPr>
    </w:p>
    <w:p w14:paraId="4564A8F9"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Contribution from development.</w:t>
      </w:r>
      <w:r w:rsidRPr="00D2782A">
        <w:rPr>
          <w:rFonts w:ascii="Times New Roman" w:hAnsi="Times New Roman" w:cs="Times New Roman"/>
        </w:rPr>
        <w:t xml:space="preserve"> For residential developments with lawns, or other developments such as golf courses or recreational areas with large grassed areas, assume that the contribution of fertilizer to groundwater NO3-N is 5% of nitrogen applied, based on an application rate of 0.45 pounds nitrogen per 100 square feet, with 6,000 to 15,000 square feet of applied area per lot in a residential development unless other application rates and areas apply.</w:t>
      </w:r>
    </w:p>
    <w:p w14:paraId="41B33C90" w14:textId="77777777" w:rsidR="00C04867" w:rsidRPr="00D2782A" w:rsidRDefault="00C04867" w:rsidP="00C04867">
      <w:pPr>
        <w:pStyle w:val="ListParagraph"/>
        <w:numPr>
          <w:ilvl w:val="0"/>
          <w:numId w:val="0"/>
        </w:numPr>
        <w:ind w:left="1440"/>
        <w:rPr>
          <w:rFonts w:ascii="Times New Roman" w:hAnsi="Times New Roman" w:cs="Times New Roman"/>
        </w:rPr>
      </w:pPr>
    </w:p>
    <w:p w14:paraId="14272D91"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Mixing and dilution.</w:t>
      </w:r>
      <w:r w:rsidRPr="00D2782A">
        <w:rPr>
          <w:rFonts w:ascii="Times New Roman" w:hAnsi="Times New Roman" w:cs="Times New Roman"/>
        </w:rPr>
        <w:t xml:space="preserve"> If dilution by precipitation is assumed as part of the assessment, assume an average concentration of 0.5 mg/l for NO3-N in </w:t>
      </w:r>
      <w:r w:rsidRPr="00D2782A">
        <w:rPr>
          <w:rFonts w:ascii="Times New Roman" w:hAnsi="Times New Roman" w:cs="Times New Roman"/>
        </w:rPr>
        <w:lastRenderedPageBreak/>
        <w:t>precipitation. Use the tables below to determine the percentage of the annual precipitation available for dilution as a function of surficial geologic deposits or hydrologic soil groups.</w:t>
      </w:r>
    </w:p>
    <w:p w14:paraId="3E0BD191" w14:textId="77777777" w:rsidR="00C04867" w:rsidRPr="00D2782A" w:rsidRDefault="00C04867" w:rsidP="00C04867">
      <w:pPr>
        <w:rPr>
          <w:rFonts w:ascii="Times New Roman" w:hAnsi="Times New Roman" w:cs="Times New Roman"/>
        </w:rPr>
      </w:pPr>
    </w:p>
    <w:p w14:paraId="667382DD" w14:textId="77777777" w:rsidR="00C04867" w:rsidRPr="00D2782A" w:rsidRDefault="00C04867" w:rsidP="00C04867">
      <w:pPr>
        <w:pStyle w:val="ListParagraph"/>
        <w:numPr>
          <w:ilvl w:val="0"/>
          <w:numId w:val="79"/>
        </w:numPr>
        <w:ind w:left="1980" w:hanging="540"/>
        <w:rPr>
          <w:rFonts w:ascii="Times New Roman" w:hAnsi="Times New Roman" w:cs="Times New Roman"/>
        </w:rPr>
      </w:pPr>
      <w:r w:rsidRPr="00D2782A">
        <w:rPr>
          <w:rFonts w:ascii="Times New Roman" w:hAnsi="Times New Roman" w:cs="Times New Roman"/>
        </w:rPr>
        <w:t>Recharge rates determined by surficial geology units</w:t>
      </w:r>
    </w:p>
    <w:p w14:paraId="7870344B" w14:textId="77777777" w:rsidR="00C04867" w:rsidRPr="00D2782A" w:rsidRDefault="00C04867" w:rsidP="00C04867">
      <w:pPr>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4225"/>
        <w:gridCol w:w="3685"/>
      </w:tblGrid>
      <w:tr w:rsidR="00C04867" w:rsidRPr="00D2782A" w14:paraId="078F2BFB" w14:textId="77777777" w:rsidTr="00DA34EF">
        <w:trPr>
          <w:trHeight w:val="665"/>
        </w:trPr>
        <w:tc>
          <w:tcPr>
            <w:tcW w:w="4225" w:type="dxa"/>
            <w:shd w:val="clear" w:color="auto" w:fill="EEECE1" w:themeFill="background2"/>
            <w:vAlign w:val="center"/>
          </w:tcPr>
          <w:p w14:paraId="0393238D" w14:textId="77777777" w:rsidR="00C04867" w:rsidRPr="00D2782A" w:rsidRDefault="00C04867" w:rsidP="00DA34EF">
            <w:pPr>
              <w:jc w:val="center"/>
              <w:rPr>
                <w:rFonts w:ascii="Times New Roman" w:hAnsi="Times New Roman" w:cs="Times New Roman"/>
                <w:b/>
                <w:bCs/>
              </w:rPr>
            </w:pPr>
            <w:r w:rsidRPr="00D2782A">
              <w:rPr>
                <w:rFonts w:ascii="Times New Roman" w:hAnsi="Times New Roman" w:cs="Times New Roman"/>
                <w:b/>
                <w:bCs/>
                <w:sz w:val="22"/>
                <w:szCs w:val="22"/>
              </w:rPr>
              <w:t>Surficial Geology Unit</w:t>
            </w:r>
          </w:p>
        </w:tc>
        <w:tc>
          <w:tcPr>
            <w:tcW w:w="3685" w:type="dxa"/>
            <w:shd w:val="clear" w:color="auto" w:fill="EEECE1" w:themeFill="background2"/>
            <w:vAlign w:val="center"/>
          </w:tcPr>
          <w:p w14:paraId="3EC786E7" w14:textId="77777777" w:rsidR="00C04867" w:rsidRPr="00D2782A" w:rsidRDefault="00C04867" w:rsidP="00DA34EF">
            <w:pPr>
              <w:jc w:val="center"/>
              <w:rPr>
                <w:rFonts w:ascii="Times New Roman" w:hAnsi="Times New Roman" w:cs="Times New Roman"/>
                <w:b/>
                <w:bCs/>
              </w:rPr>
            </w:pPr>
            <w:r w:rsidRPr="00D2782A">
              <w:rPr>
                <w:rFonts w:ascii="Times New Roman" w:hAnsi="Times New Roman" w:cs="Times New Roman"/>
                <w:b/>
                <w:bCs/>
              </w:rPr>
              <w:t>Average Annual Recharge Rate</w:t>
            </w:r>
            <w:r w:rsidRPr="00D2782A">
              <w:rPr>
                <w:rFonts w:ascii="Times New Roman" w:hAnsi="Times New Roman" w:cs="Times New Roman"/>
                <w:b/>
                <w:bCs/>
              </w:rPr>
              <w:br/>
              <w:t>(percentage of annual precipitation)</w:t>
            </w:r>
          </w:p>
        </w:tc>
      </w:tr>
      <w:tr w:rsidR="00C04867" w:rsidRPr="00D2782A" w14:paraId="1A1C8939" w14:textId="77777777" w:rsidTr="00DA34EF">
        <w:tc>
          <w:tcPr>
            <w:tcW w:w="4225" w:type="dxa"/>
            <w:vAlign w:val="center"/>
          </w:tcPr>
          <w:p w14:paraId="1A96EA6B"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Ice-contact and outwash sand &amp; gravel</w:t>
            </w:r>
          </w:p>
        </w:tc>
        <w:tc>
          <w:tcPr>
            <w:tcW w:w="3685" w:type="dxa"/>
            <w:vAlign w:val="center"/>
          </w:tcPr>
          <w:p w14:paraId="2AABC11F"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40% to 50%</w:t>
            </w:r>
          </w:p>
        </w:tc>
      </w:tr>
      <w:tr w:rsidR="00C04867" w:rsidRPr="00D2782A" w14:paraId="54FFA503" w14:textId="77777777" w:rsidTr="00DA34EF">
        <w:tc>
          <w:tcPr>
            <w:tcW w:w="4225" w:type="dxa"/>
            <w:vAlign w:val="center"/>
          </w:tcPr>
          <w:p w14:paraId="53C903B5"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Glaciomarine clay/silt</w:t>
            </w:r>
          </w:p>
        </w:tc>
        <w:tc>
          <w:tcPr>
            <w:tcW w:w="3685" w:type="dxa"/>
            <w:vAlign w:val="center"/>
          </w:tcPr>
          <w:p w14:paraId="61A012D7"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5% to 15%</w:t>
            </w:r>
          </w:p>
        </w:tc>
      </w:tr>
      <w:tr w:rsidR="00C04867" w:rsidRPr="00D2782A" w14:paraId="20884003" w14:textId="77777777" w:rsidTr="00DA34EF">
        <w:tc>
          <w:tcPr>
            <w:tcW w:w="4225" w:type="dxa"/>
            <w:vAlign w:val="center"/>
          </w:tcPr>
          <w:p w14:paraId="6E6A34EF"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Thick silty lodgment till</w:t>
            </w:r>
          </w:p>
        </w:tc>
        <w:tc>
          <w:tcPr>
            <w:tcW w:w="3685" w:type="dxa"/>
            <w:vAlign w:val="center"/>
          </w:tcPr>
          <w:p w14:paraId="7B7DB4A6"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5% to 15%</w:t>
            </w:r>
          </w:p>
        </w:tc>
      </w:tr>
      <w:tr w:rsidR="00C04867" w:rsidRPr="00D2782A" w14:paraId="25E5BFDE" w14:textId="77777777" w:rsidTr="00DA34EF">
        <w:tc>
          <w:tcPr>
            <w:tcW w:w="4225" w:type="dxa"/>
            <w:vAlign w:val="center"/>
          </w:tcPr>
          <w:p w14:paraId="260C88BC"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Thick course-grained (granite-derived) till</w:t>
            </w:r>
          </w:p>
        </w:tc>
        <w:tc>
          <w:tcPr>
            <w:tcW w:w="3685" w:type="dxa"/>
            <w:vAlign w:val="center"/>
          </w:tcPr>
          <w:p w14:paraId="49E65F60"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15% to 40%</w:t>
            </w:r>
          </w:p>
        </w:tc>
      </w:tr>
      <w:tr w:rsidR="00C04867" w:rsidRPr="00D2782A" w14:paraId="2FDE92A8" w14:textId="77777777" w:rsidTr="00DA34EF">
        <w:trPr>
          <w:trHeight w:val="377"/>
        </w:trPr>
        <w:tc>
          <w:tcPr>
            <w:tcW w:w="4225" w:type="dxa"/>
            <w:vAlign w:val="center"/>
          </w:tcPr>
          <w:p w14:paraId="79FE60E4"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Thin sandy till-like soil over bedrock</w:t>
            </w:r>
          </w:p>
        </w:tc>
        <w:tc>
          <w:tcPr>
            <w:tcW w:w="3685" w:type="dxa"/>
            <w:vAlign w:val="center"/>
          </w:tcPr>
          <w:p w14:paraId="2ED80257" w14:textId="77777777" w:rsidR="00C04867" w:rsidRPr="00D2782A" w:rsidRDefault="00C04867" w:rsidP="00DA34EF">
            <w:pPr>
              <w:spacing w:line="320" w:lineRule="exact"/>
              <w:jc w:val="center"/>
              <w:rPr>
                <w:rFonts w:ascii="Times New Roman" w:hAnsi="Times New Roman" w:cs="Times New Roman"/>
              </w:rPr>
            </w:pPr>
            <w:r w:rsidRPr="00D2782A">
              <w:rPr>
                <w:rFonts w:ascii="Times New Roman" w:hAnsi="Times New Roman" w:cs="Times New Roman"/>
              </w:rPr>
              <w:t>5% to 20%</w:t>
            </w:r>
          </w:p>
        </w:tc>
      </w:tr>
    </w:tbl>
    <w:p w14:paraId="08AD02B6" w14:textId="77777777" w:rsidR="00C04867" w:rsidRPr="00D2782A" w:rsidRDefault="00C04867" w:rsidP="00C04867">
      <w:pPr>
        <w:rPr>
          <w:rFonts w:ascii="Times New Roman" w:hAnsi="Times New Roman" w:cs="Times New Roman"/>
        </w:rPr>
      </w:pPr>
    </w:p>
    <w:p w14:paraId="704DC520" w14:textId="77777777" w:rsidR="00C04867" w:rsidRPr="00D2782A" w:rsidRDefault="00C04867" w:rsidP="00C04867">
      <w:pPr>
        <w:pStyle w:val="ListParagraph"/>
        <w:numPr>
          <w:ilvl w:val="0"/>
          <w:numId w:val="79"/>
        </w:numPr>
        <w:ind w:left="2160"/>
        <w:rPr>
          <w:rFonts w:ascii="Times New Roman" w:hAnsi="Times New Roman" w:cs="Times New Roman"/>
        </w:rPr>
      </w:pPr>
      <w:r w:rsidRPr="00D2782A">
        <w:rPr>
          <w:rFonts w:ascii="Times New Roman" w:hAnsi="Times New Roman" w:cs="Times New Roman"/>
        </w:rPr>
        <w:t>Recharge rates determined by slope and hydrologic soil group</w:t>
      </w:r>
    </w:p>
    <w:p w14:paraId="729041A0" w14:textId="77777777" w:rsidR="00C04867" w:rsidRPr="00D2782A" w:rsidRDefault="00C04867" w:rsidP="00C04867">
      <w:pPr>
        <w:pStyle w:val="BodyText"/>
        <w:rPr>
          <w:rFonts w:ascii="Times New Roman" w:hAnsi="Times New Roman" w:cs="Times New Roman"/>
        </w:rPr>
      </w:pPr>
    </w:p>
    <w:tbl>
      <w:tblPr>
        <w:tblW w:w="7909" w:type="dxa"/>
        <w:tblInd w:w="14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90"/>
        <w:gridCol w:w="1700"/>
        <w:gridCol w:w="1296"/>
        <w:gridCol w:w="1440"/>
        <w:gridCol w:w="1583"/>
      </w:tblGrid>
      <w:tr w:rsidR="00C04867" w:rsidRPr="00D2782A" w14:paraId="2A3E6AB9" w14:textId="77777777" w:rsidTr="00DA34EF">
        <w:trPr>
          <w:trHeight w:val="663"/>
        </w:trPr>
        <w:tc>
          <w:tcPr>
            <w:tcW w:w="1890" w:type="dxa"/>
            <w:tcBorders>
              <w:bottom w:val="single" w:sz="6" w:space="0" w:color="000000"/>
              <w:right w:val="single" w:sz="6" w:space="0" w:color="000000"/>
            </w:tcBorders>
            <w:shd w:val="clear" w:color="auto" w:fill="EEECE1" w:themeFill="background2"/>
            <w:vAlign w:val="center"/>
          </w:tcPr>
          <w:p w14:paraId="233291A3" w14:textId="77777777" w:rsidR="00C04867" w:rsidRPr="00D2782A" w:rsidRDefault="00C04867" w:rsidP="00DA34EF">
            <w:pPr>
              <w:pStyle w:val="TableParagraph"/>
              <w:jc w:val="center"/>
              <w:rPr>
                <w:b/>
                <w:sz w:val="24"/>
                <w:szCs w:val="24"/>
              </w:rPr>
            </w:pPr>
            <w:r w:rsidRPr="00D2782A">
              <w:rPr>
                <w:b/>
                <w:sz w:val="24"/>
                <w:szCs w:val="24"/>
              </w:rPr>
              <w:t>Slope (%)</w:t>
            </w:r>
          </w:p>
        </w:tc>
        <w:tc>
          <w:tcPr>
            <w:tcW w:w="6019" w:type="dxa"/>
            <w:gridSpan w:val="4"/>
            <w:tcBorders>
              <w:left w:val="single" w:sz="6" w:space="0" w:color="000000"/>
              <w:bottom w:val="single" w:sz="6" w:space="0" w:color="000000"/>
            </w:tcBorders>
            <w:shd w:val="clear" w:color="auto" w:fill="EEECE1" w:themeFill="background2"/>
            <w:vAlign w:val="center"/>
          </w:tcPr>
          <w:p w14:paraId="6609CD17" w14:textId="77777777" w:rsidR="00C04867" w:rsidRPr="00D2782A" w:rsidRDefault="00C04867" w:rsidP="00DA34EF">
            <w:pPr>
              <w:pStyle w:val="TableParagraph"/>
              <w:ind w:left="43" w:right="1"/>
              <w:jc w:val="center"/>
              <w:rPr>
                <w:b/>
                <w:sz w:val="24"/>
                <w:szCs w:val="24"/>
              </w:rPr>
            </w:pPr>
            <w:r w:rsidRPr="00D2782A">
              <w:rPr>
                <w:b/>
                <w:sz w:val="24"/>
                <w:szCs w:val="24"/>
              </w:rPr>
              <w:t>Average Annual Recharge Rate</w:t>
            </w:r>
          </w:p>
          <w:p w14:paraId="210DD202" w14:textId="77777777" w:rsidR="00C04867" w:rsidRPr="00D2782A" w:rsidRDefault="00C04867" w:rsidP="00DA34EF">
            <w:pPr>
              <w:pStyle w:val="TableParagraph"/>
              <w:ind w:left="43"/>
              <w:jc w:val="center"/>
              <w:rPr>
                <w:b/>
                <w:sz w:val="24"/>
                <w:szCs w:val="24"/>
              </w:rPr>
            </w:pPr>
            <w:r w:rsidRPr="00D2782A">
              <w:rPr>
                <w:b/>
                <w:sz w:val="24"/>
                <w:szCs w:val="24"/>
              </w:rPr>
              <w:t>(percentage of annual precipitation by hydrologic group)</w:t>
            </w:r>
          </w:p>
        </w:tc>
      </w:tr>
      <w:tr w:rsidR="00C04867" w:rsidRPr="00D2782A" w14:paraId="0E644A5D" w14:textId="77777777" w:rsidTr="00DA34EF">
        <w:trPr>
          <w:trHeight w:val="241"/>
        </w:trPr>
        <w:tc>
          <w:tcPr>
            <w:tcW w:w="1890" w:type="dxa"/>
            <w:tcBorders>
              <w:top w:val="single" w:sz="6" w:space="0" w:color="000000"/>
              <w:bottom w:val="single" w:sz="6" w:space="0" w:color="000000"/>
              <w:right w:val="single" w:sz="6" w:space="0" w:color="000000"/>
            </w:tcBorders>
            <w:vAlign w:val="center"/>
          </w:tcPr>
          <w:p w14:paraId="37910670" w14:textId="77777777" w:rsidR="00C04867" w:rsidRPr="00D2782A" w:rsidRDefault="00C04867" w:rsidP="00DA34EF">
            <w:pPr>
              <w:pStyle w:val="TableParagraph"/>
              <w:jc w:val="center"/>
              <w:rPr>
                <w:sz w:val="24"/>
                <w:szCs w:val="24"/>
              </w:rPr>
            </w:pPr>
          </w:p>
        </w:tc>
        <w:tc>
          <w:tcPr>
            <w:tcW w:w="1700" w:type="dxa"/>
            <w:tcBorders>
              <w:top w:val="single" w:sz="6" w:space="0" w:color="000000"/>
              <w:left w:val="single" w:sz="6" w:space="0" w:color="000000"/>
              <w:bottom w:val="single" w:sz="6" w:space="0" w:color="000000"/>
              <w:right w:val="single" w:sz="6" w:space="0" w:color="000000"/>
            </w:tcBorders>
            <w:vAlign w:val="center"/>
          </w:tcPr>
          <w:p w14:paraId="51B0B840" w14:textId="77777777" w:rsidR="00C04867" w:rsidRPr="00D2782A" w:rsidRDefault="00C04867" w:rsidP="00DA34EF">
            <w:pPr>
              <w:pStyle w:val="TableParagraph"/>
              <w:ind w:left="29"/>
              <w:jc w:val="center"/>
              <w:rPr>
                <w:b/>
                <w:bCs/>
                <w:sz w:val="24"/>
                <w:szCs w:val="24"/>
              </w:rPr>
            </w:pPr>
            <w:r w:rsidRPr="00D2782A">
              <w:rPr>
                <w:b/>
                <w:bCs/>
                <w:sz w:val="24"/>
                <w:szCs w:val="24"/>
              </w:rPr>
              <w:t>A</w:t>
            </w:r>
          </w:p>
        </w:tc>
        <w:tc>
          <w:tcPr>
            <w:tcW w:w="1296" w:type="dxa"/>
            <w:tcBorders>
              <w:top w:val="single" w:sz="6" w:space="0" w:color="000000"/>
              <w:left w:val="single" w:sz="6" w:space="0" w:color="000000"/>
              <w:bottom w:val="single" w:sz="6" w:space="0" w:color="000000"/>
              <w:right w:val="single" w:sz="6" w:space="0" w:color="000000"/>
            </w:tcBorders>
            <w:vAlign w:val="center"/>
          </w:tcPr>
          <w:p w14:paraId="0399469F" w14:textId="77777777" w:rsidR="00C04867" w:rsidRPr="00D2782A" w:rsidRDefault="00C04867" w:rsidP="00DA34EF">
            <w:pPr>
              <w:pStyle w:val="TableParagraph"/>
              <w:ind w:left="30"/>
              <w:jc w:val="center"/>
              <w:rPr>
                <w:b/>
                <w:bCs/>
                <w:sz w:val="24"/>
                <w:szCs w:val="24"/>
              </w:rPr>
            </w:pPr>
            <w:r w:rsidRPr="00D2782A">
              <w:rPr>
                <w:b/>
                <w:bCs/>
                <w:sz w:val="24"/>
                <w:szCs w:val="24"/>
              </w:rPr>
              <w:t>B</w:t>
            </w:r>
          </w:p>
        </w:tc>
        <w:tc>
          <w:tcPr>
            <w:tcW w:w="1440" w:type="dxa"/>
            <w:tcBorders>
              <w:top w:val="single" w:sz="6" w:space="0" w:color="000000"/>
              <w:left w:val="single" w:sz="6" w:space="0" w:color="000000"/>
              <w:bottom w:val="single" w:sz="6" w:space="0" w:color="000000"/>
              <w:right w:val="single" w:sz="6" w:space="0" w:color="000000"/>
            </w:tcBorders>
            <w:vAlign w:val="center"/>
          </w:tcPr>
          <w:p w14:paraId="2A36ED4C" w14:textId="77777777" w:rsidR="00C04867" w:rsidRPr="00D2782A" w:rsidRDefault="00C04867" w:rsidP="00DA34EF">
            <w:pPr>
              <w:pStyle w:val="TableParagraph"/>
              <w:ind w:left="30"/>
              <w:jc w:val="center"/>
              <w:rPr>
                <w:b/>
                <w:bCs/>
                <w:sz w:val="24"/>
                <w:szCs w:val="24"/>
              </w:rPr>
            </w:pPr>
            <w:r w:rsidRPr="00D2782A">
              <w:rPr>
                <w:b/>
                <w:bCs/>
                <w:sz w:val="24"/>
                <w:szCs w:val="24"/>
              </w:rPr>
              <w:t>C</w:t>
            </w:r>
          </w:p>
        </w:tc>
        <w:tc>
          <w:tcPr>
            <w:tcW w:w="1583" w:type="dxa"/>
            <w:tcBorders>
              <w:top w:val="single" w:sz="6" w:space="0" w:color="000000"/>
              <w:left w:val="single" w:sz="6" w:space="0" w:color="000000"/>
              <w:bottom w:val="single" w:sz="6" w:space="0" w:color="000000"/>
            </w:tcBorders>
            <w:vAlign w:val="center"/>
          </w:tcPr>
          <w:p w14:paraId="183A448B" w14:textId="77777777" w:rsidR="00C04867" w:rsidRPr="00D2782A" w:rsidRDefault="00C04867" w:rsidP="00DA34EF">
            <w:pPr>
              <w:pStyle w:val="TableParagraph"/>
              <w:ind w:left="38"/>
              <w:jc w:val="center"/>
              <w:rPr>
                <w:b/>
                <w:bCs/>
                <w:sz w:val="24"/>
                <w:szCs w:val="24"/>
              </w:rPr>
            </w:pPr>
            <w:r w:rsidRPr="00D2782A">
              <w:rPr>
                <w:b/>
                <w:bCs/>
                <w:sz w:val="24"/>
                <w:szCs w:val="24"/>
              </w:rPr>
              <w:t>D</w:t>
            </w:r>
          </w:p>
        </w:tc>
      </w:tr>
      <w:tr w:rsidR="00C04867" w:rsidRPr="00D2782A" w14:paraId="68445CB7" w14:textId="77777777" w:rsidTr="00DA34EF">
        <w:trPr>
          <w:trHeight w:val="241"/>
        </w:trPr>
        <w:tc>
          <w:tcPr>
            <w:tcW w:w="1890" w:type="dxa"/>
            <w:tcBorders>
              <w:top w:val="single" w:sz="6" w:space="0" w:color="000000"/>
              <w:bottom w:val="single" w:sz="6" w:space="0" w:color="000000"/>
              <w:right w:val="single" w:sz="6" w:space="0" w:color="000000"/>
            </w:tcBorders>
            <w:vAlign w:val="center"/>
          </w:tcPr>
          <w:p w14:paraId="3885784D" w14:textId="77777777" w:rsidR="00C04867" w:rsidRPr="00D2782A" w:rsidRDefault="00C04867" w:rsidP="00DA34EF">
            <w:pPr>
              <w:pStyle w:val="TableParagraph"/>
              <w:ind w:left="25" w:right="1"/>
              <w:jc w:val="center"/>
              <w:rPr>
                <w:sz w:val="24"/>
                <w:szCs w:val="24"/>
              </w:rPr>
            </w:pPr>
            <w:r w:rsidRPr="00D2782A">
              <w:rPr>
                <w:sz w:val="24"/>
                <w:szCs w:val="24"/>
              </w:rPr>
              <w:t>0 to 8</w:t>
            </w:r>
          </w:p>
        </w:tc>
        <w:tc>
          <w:tcPr>
            <w:tcW w:w="1700" w:type="dxa"/>
            <w:tcBorders>
              <w:top w:val="single" w:sz="6" w:space="0" w:color="000000"/>
              <w:left w:val="single" w:sz="6" w:space="0" w:color="000000"/>
              <w:bottom w:val="single" w:sz="6" w:space="0" w:color="000000"/>
              <w:right w:val="single" w:sz="6" w:space="0" w:color="000000"/>
            </w:tcBorders>
            <w:vAlign w:val="center"/>
          </w:tcPr>
          <w:p w14:paraId="7364E362" w14:textId="77777777" w:rsidR="00C04867" w:rsidRPr="00D2782A" w:rsidRDefault="00C04867" w:rsidP="00DA34EF">
            <w:pPr>
              <w:pStyle w:val="TableParagraph"/>
              <w:ind w:left="29"/>
              <w:jc w:val="center"/>
              <w:rPr>
                <w:sz w:val="24"/>
                <w:szCs w:val="24"/>
              </w:rPr>
            </w:pPr>
            <w:r w:rsidRPr="00D2782A">
              <w:rPr>
                <w:sz w:val="24"/>
                <w:szCs w:val="24"/>
              </w:rPr>
              <w:t>43%</w:t>
            </w:r>
          </w:p>
        </w:tc>
        <w:tc>
          <w:tcPr>
            <w:tcW w:w="1296" w:type="dxa"/>
            <w:tcBorders>
              <w:top w:val="single" w:sz="6" w:space="0" w:color="000000"/>
              <w:left w:val="single" w:sz="6" w:space="0" w:color="000000"/>
              <w:bottom w:val="single" w:sz="6" w:space="0" w:color="000000"/>
              <w:right w:val="single" w:sz="6" w:space="0" w:color="000000"/>
            </w:tcBorders>
            <w:vAlign w:val="center"/>
          </w:tcPr>
          <w:p w14:paraId="00741666" w14:textId="77777777" w:rsidR="00C04867" w:rsidRPr="00D2782A" w:rsidRDefault="00C04867" w:rsidP="00DA34EF">
            <w:pPr>
              <w:pStyle w:val="TableParagraph"/>
              <w:ind w:left="30" w:right="1"/>
              <w:jc w:val="center"/>
              <w:rPr>
                <w:sz w:val="24"/>
                <w:szCs w:val="24"/>
              </w:rPr>
            </w:pPr>
            <w:r w:rsidRPr="00D2782A">
              <w:rPr>
                <w:sz w:val="24"/>
                <w:szCs w:val="24"/>
              </w:rPr>
              <w:t>33%</w:t>
            </w:r>
          </w:p>
        </w:tc>
        <w:tc>
          <w:tcPr>
            <w:tcW w:w="1440" w:type="dxa"/>
            <w:tcBorders>
              <w:top w:val="single" w:sz="6" w:space="0" w:color="000000"/>
              <w:left w:val="single" w:sz="6" w:space="0" w:color="000000"/>
              <w:bottom w:val="single" w:sz="6" w:space="0" w:color="000000"/>
              <w:right w:val="single" w:sz="6" w:space="0" w:color="000000"/>
            </w:tcBorders>
            <w:vAlign w:val="center"/>
          </w:tcPr>
          <w:p w14:paraId="008BFAD6" w14:textId="77777777" w:rsidR="00C04867" w:rsidRPr="00D2782A" w:rsidRDefault="00C04867" w:rsidP="00DA34EF">
            <w:pPr>
              <w:pStyle w:val="TableParagraph"/>
              <w:ind w:left="30" w:right="1"/>
              <w:jc w:val="center"/>
              <w:rPr>
                <w:sz w:val="24"/>
                <w:szCs w:val="24"/>
              </w:rPr>
            </w:pPr>
            <w:r w:rsidRPr="00D2782A">
              <w:rPr>
                <w:sz w:val="24"/>
                <w:szCs w:val="24"/>
              </w:rPr>
              <w:t>21%</w:t>
            </w:r>
          </w:p>
        </w:tc>
        <w:tc>
          <w:tcPr>
            <w:tcW w:w="1583" w:type="dxa"/>
            <w:tcBorders>
              <w:top w:val="single" w:sz="6" w:space="0" w:color="000000"/>
              <w:left w:val="single" w:sz="6" w:space="0" w:color="000000"/>
              <w:bottom w:val="single" w:sz="6" w:space="0" w:color="000000"/>
            </w:tcBorders>
            <w:vAlign w:val="center"/>
          </w:tcPr>
          <w:p w14:paraId="15228491" w14:textId="77777777" w:rsidR="00C04867" w:rsidRPr="00D2782A" w:rsidRDefault="00C04867" w:rsidP="00DA34EF">
            <w:pPr>
              <w:pStyle w:val="TableParagraph"/>
              <w:ind w:left="38" w:right="1"/>
              <w:jc w:val="center"/>
              <w:rPr>
                <w:sz w:val="24"/>
                <w:szCs w:val="24"/>
              </w:rPr>
            </w:pPr>
            <w:r w:rsidRPr="00D2782A">
              <w:rPr>
                <w:sz w:val="24"/>
                <w:szCs w:val="24"/>
              </w:rPr>
              <w:t>0%</w:t>
            </w:r>
          </w:p>
        </w:tc>
      </w:tr>
      <w:tr w:rsidR="00C04867" w:rsidRPr="00D2782A" w14:paraId="40177C27" w14:textId="77777777" w:rsidTr="00DA34EF">
        <w:trPr>
          <w:trHeight w:val="241"/>
        </w:trPr>
        <w:tc>
          <w:tcPr>
            <w:tcW w:w="1890" w:type="dxa"/>
            <w:tcBorders>
              <w:top w:val="single" w:sz="6" w:space="0" w:color="000000"/>
              <w:bottom w:val="single" w:sz="6" w:space="0" w:color="000000"/>
              <w:right w:val="single" w:sz="6" w:space="0" w:color="000000"/>
            </w:tcBorders>
            <w:vAlign w:val="center"/>
          </w:tcPr>
          <w:p w14:paraId="21A5C637" w14:textId="77777777" w:rsidR="00C04867" w:rsidRPr="00D2782A" w:rsidRDefault="00C04867" w:rsidP="00DA34EF">
            <w:pPr>
              <w:pStyle w:val="TableParagraph"/>
              <w:ind w:left="25"/>
              <w:jc w:val="center"/>
              <w:rPr>
                <w:sz w:val="24"/>
                <w:szCs w:val="24"/>
              </w:rPr>
            </w:pPr>
            <w:r w:rsidRPr="00D2782A">
              <w:rPr>
                <w:sz w:val="24"/>
                <w:szCs w:val="24"/>
              </w:rPr>
              <w:t>8 to 15</w:t>
            </w:r>
          </w:p>
        </w:tc>
        <w:tc>
          <w:tcPr>
            <w:tcW w:w="1700" w:type="dxa"/>
            <w:tcBorders>
              <w:top w:val="single" w:sz="6" w:space="0" w:color="000000"/>
              <w:left w:val="single" w:sz="6" w:space="0" w:color="000000"/>
              <w:bottom w:val="single" w:sz="6" w:space="0" w:color="000000"/>
              <w:right w:val="single" w:sz="6" w:space="0" w:color="000000"/>
            </w:tcBorders>
            <w:vAlign w:val="center"/>
          </w:tcPr>
          <w:p w14:paraId="6FB1F329" w14:textId="77777777" w:rsidR="00C04867" w:rsidRPr="00D2782A" w:rsidRDefault="00C04867" w:rsidP="00DA34EF">
            <w:pPr>
              <w:pStyle w:val="TableParagraph"/>
              <w:ind w:left="29"/>
              <w:jc w:val="center"/>
              <w:rPr>
                <w:sz w:val="24"/>
                <w:szCs w:val="24"/>
              </w:rPr>
            </w:pPr>
            <w:r w:rsidRPr="00D2782A">
              <w:rPr>
                <w:sz w:val="24"/>
                <w:szCs w:val="24"/>
              </w:rPr>
              <w:t>35%</w:t>
            </w:r>
          </w:p>
        </w:tc>
        <w:tc>
          <w:tcPr>
            <w:tcW w:w="1296" w:type="dxa"/>
            <w:tcBorders>
              <w:top w:val="single" w:sz="6" w:space="0" w:color="000000"/>
              <w:left w:val="single" w:sz="6" w:space="0" w:color="000000"/>
              <w:bottom w:val="single" w:sz="6" w:space="0" w:color="000000"/>
              <w:right w:val="single" w:sz="6" w:space="0" w:color="000000"/>
            </w:tcBorders>
            <w:vAlign w:val="center"/>
          </w:tcPr>
          <w:p w14:paraId="18CA5B2A" w14:textId="77777777" w:rsidR="00C04867" w:rsidRPr="00D2782A" w:rsidRDefault="00C04867" w:rsidP="00DA34EF">
            <w:pPr>
              <w:pStyle w:val="TableParagraph"/>
              <w:ind w:left="30" w:right="1"/>
              <w:jc w:val="center"/>
              <w:rPr>
                <w:sz w:val="24"/>
                <w:szCs w:val="24"/>
              </w:rPr>
            </w:pPr>
            <w:r w:rsidRPr="00D2782A">
              <w:rPr>
                <w:sz w:val="24"/>
                <w:szCs w:val="24"/>
              </w:rPr>
              <w:t>26%</w:t>
            </w:r>
          </w:p>
        </w:tc>
        <w:tc>
          <w:tcPr>
            <w:tcW w:w="1440" w:type="dxa"/>
            <w:tcBorders>
              <w:top w:val="single" w:sz="6" w:space="0" w:color="000000"/>
              <w:left w:val="single" w:sz="6" w:space="0" w:color="000000"/>
              <w:bottom w:val="single" w:sz="6" w:space="0" w:color="000000"/>
              <w:right w:val="single" w:sz="6" w:space="0" w:color="000000"/>
            </w:tcBorders>
            <w:vAlign w:val="center"/>
          </w:tcPr>
          <w:p w14:paraId="26182A0F" w14:textId="77777777" w:rsidR="00C04867" w:rsidRPr="00D2782A" w:rsidRDefault="00C04867" w:rsidP="00DA34EF">
            <w:pPr>
              <w:pStyle w:val="TableParagraph"/>
              <w:ind w:left="30" w:right="1"/>
              <w:jc w:val="center"/>
              <w:rPr>
                <w:sz w:val="24"/>
                <w:szCs w:val="24"/>
              </w:rPr>
            </w:pPr>
            <w:r w:rsidRPr="00D2782A">
              <w:rPr>
                <w:sz w:val="24"/>
                <w:szCs w:val="24"/>
              </w:rPr>
              <w:t>19%</w:t>
            </w:r>
          </w:p>
        </w:tc>
        <w:tc>
          <w:tcPr>
            <w:tcW w:w="1583" w:type="dxa"/>
            <w:tcBorders>
              <w:top w:val="single" w:sz="6" w:space="0" w:color="000000"/>
              <w:left w:val="single" w:sz="6" w:space="0" w:color="000000"/>
              <w:bottom w:val="single" w:sz="6" w:space="0" w:color="000000"/>
            </w:tcBorders>
            <w:vAlign w:val="center"/>
          </w:tcPr>
          <w:p w14:paraId="08124616" w14:textId="77777777" w:rsidR="00C04867" w:rsidRPr="00D2782A" w:rsidRDefault="00C04867" w:rsidP="00DA34EF">
            <w:pPr>
              <w:pStyle w:val="TableParagraph"/>
              <w:ind w:left="38" w:right="2"/>
              <w:jc w:val="center"/>
              <w:rPr>
                <w:sz w:val="24"/>
                <w:szCs w:val="24"/>
              </w:rPr>
            </w:pPr>
            <w:r w:rsidRPr="00D2782A">
              <w:rPr>
                <w:sz w:val="24"/>
                <w:szCs w:val="24"/>
              </w:rPr>
              <w:t>0%</w:t>
            </w:r>
          </w:p>
        </w:tc>
      </w:tr>
      <w:tr w:rsidR="00C04867" w:rsidRPr="00D2782A" w14:paraId="3249573D" w14:textId="77777777" w:rsidTr="00DA34EF">
        <w:trPr>
          <w:trHeight w:val="241"/>
        </w:trPr>
        <w:tc>
          <w:tcPr>
            <w:tcW w:w="1890" w:type="dxa"/>
            <w:tcBorders>
              <w:top w:val="single" w:sz="6" w:space="0" w:color="000000"/>
              <w:bottom w:val="single" w:sz="6" w:space="0" w:color="000000"/>
              <w:right w:val="single" w:sz="6" w:space="0" w:color="000000"/>
            </w:tcBorders>
            <w:vAlign w:val="center"/>
          </w:tcPr>
          <w:p w14:paraId="6002CCEB" w14:textId="77777777" w:rsidR="00C04867" w:rsidRPr="00D2782A" w:rsidRDefault="00C04867" w:rsidP="00DA34EF">
            <w:pPr>
              <w:pStyle w:val="TableParagraph"/>
              <w:ind w:left="25" w:right="2"/>
              <w:jc w:val="center"/>
              <w:rPr>
                <w:sz w:val="24"/>
                <w:szCs w:val="24"/>
              </w:rPr>
            </w:pPr>
            <w:r w:rsidRPr="00D2782A">
              <w:rPr>
                <w:sz w:val="24"/>
                <w:szCs w:val="24"/>
              </w:rPr>
              <w:t>15 to 25</w:t>
            </w:r>
          </w:p>
        </w:tc>
        <w:tc>
          <w:tcPr>
            <w:tcW w:w="1700" w:type="dxa"/>
            <w:tcBorders>
              <w:top w:val="single" w:sz="6" w:space="0" w:color="000000"/>
              <w:left w:val="single" w:sz="6" w:space="0" w:color="000000"/>
              <w:bottom w:val="single" w:sz="6" w:space="0" w:color="000000"/>
              <w:right w:val="single" w:sz="6" w:space="0" w:color="000000"/>
            </w:tcBorders>
            <w:vAlign w:val="center"/>
          </w:tcPr>
          <w:p w14:paraId="667C2AA9" w14:textId="77777777" w:rsidR="00C04867" w:rsidRPr="00D2782A" w:rsidRDefault="00C04867" w:rsidP="00DA34EF">
            <w:pPr>
              <w:pStyle w:val="TableParagraph"/>
              <w:ind w:left="29" w:right="1"/>
              <w:jc w:val="center"/>
              <w:rPr>
                <w:sz w:val="24"/>
                <w:szCs w:val="24"/>
              </w:rPr>
            </w:pPr>
            <w:r w:rsidRPr="00D2782A">
              <w:rPr>
                <w:sz w:val="24"/>
                <w:szCs w:val="24"/>
              </w:rPr>
              <w:t>27%</w:t>
            </w:r>
          </w:p>
        </w:tc>
        <w:tc>
          <w:tcPr>
            <w:tcW w:w="1296" w:type="dxa"/>
            <w:tcBorders>
              <w:top w:val="single" w:sz="6" w:space="0" w:color="000000"/>
              <w:left w:val="single" w:sz="6" w:space="0" w:color="000000"/>
              <w:bottom w:val="single" w:sz="6" w:space="0" w:color="000000"/>
              <w:right w:val="single" w:sz="6" w:space="0" w:color="000000"/>
            </w:tcBorders>
            <w:vAlign w:val="center"/>
          </w:tcPr>
          <w:p w14:paraId="447D86B0" w14:textId="77777777" w:rsidR="00C04867" w:rsidRPr="00D2782A" w:rsidRDefault="00C04867" w:rsidP="00DA34EF">
            <w:pPr>
              <w:pStyle w:val="TableParagraph"/>
              <w:ind w:left="30" w:right="2"/>
              <w:jc w:val="center"/>
              <w:rPr>
                <w:sz w:val="24"/>
                <w:szCs w:val="24"/>
              </w:rPr>
            </w:pPr>
            <w:r w:rsidRPr="00D2782A">
              <w:rPr>
                <w:sz w:val="24"/>
                <w:szCs w:val="24"/>
              </w:rPr>
              <w:t>21%</w:t>
            </w:r>
          </w:p>
        </w:tc>
        <w:tc>
          <w:tcPr>
            <w:tcW w:w="1440" w:type="dxa"/>
            <w:tcBorders>
              <w:top w:val="single" w:sz="6" w:space="0" w:color="000000"/>
              <w:left w:val="single" w:sz="6" w:space="0" w:color="000000"/>
              <w:bottom w:val="single" w:sz="6" w:space="0" w:color="000000"/>
              <w:right w:val="single" w:sz="6" w:space="0" w:color="000000"/>
            </w:tcBorders>
            <w:vAlign w:val="center"/>
          </w:tcPr>
          <w:p w14:paraId="1EA4D9FE" w14:textId="77777777" w:rsidR="00C04867" w:rsidRPr="00D2782A" w:rsidRDefault="00C04867" w:rsidP="00DA34EF">
            <w:pPr>
              <w:pStyle w:val="TableParagraph"/>
              <w:ind w:left="30" w:right="2"/>
              <w:jc w:val="center"/>
              <w:rPr>
                <w:sz w:val="24"/>
                <w:szCs w:val="24"/>
              </w:rPr>
            </w:pPr>
            <w:r w:rsidRPr="00D2782A">
              <w:rPr>
                <w:sz w:val="24"/>
                <w:szCs w:val="24"/>
              </w:rPr>
              <w:t>17%</w:t>
            </w:r>
          </w:p>
        </w:tc>
        <w:tc>
          <w:tcPr>
            <w:tcW w:w="1583" w:type="dxa"/>
            <w:tcBorders>
              <w:top w:val="single" w:sz="6" w:space="0" w:color="000000"/>
              <w:left w:val="single" w:sz="6" w:space="0" w:color="000000"/>
              <w:bottom w:val="single" w:sz="6" w:space="0" w:color="000000"/>
            </w:tcBorders>
            <w:vAlign w:val="center"/>
          </w:tcPr>
          <w:p w14:paraId="354BA6C3" w14:textId="77777777" w:rsidR="00C04867" w:rsidRPr="00D2782A" w:rsidRDefault="00C04867" w:rsidP="00DA34EF">
            <w:pPr>
              <w:pStyle w:val="TableParagraph"/>
              <w:ind w:left="38" w:right="2"/>
              <w:jc w:val="center"/>
              <w:rPr>
                <w:sz w:val="24"/>
                <w:szCs w:val="24"/>
              </w:rPr>
            </w:pPr>
            <w:r w:rsidRPr="00D2782A">
              <w:rPr>
                <w:sz w:val="24"/>
                <w:szCs w:val="24"/>
              </w:rPr>
              <w:t>0%</w:t>
            </w:r>
          </w:p>
        </w:tc>
      </w:tr>
      <w:tr w:rsidR="00C04867" w:rsidRPr="00D2782A" w14:paraId="01BA45C8" w14:textId="77777777" w:rsidTr="00DA34EF">
        <w:trPr>
          <w:trHeight w:val="240"/>
        </w:trPr>
        <w:tc>
          <w:tcPr>
            <w:tcW w:w="1890" w:type="dxa"/>
            <w:tcBorders>
              <w:top w:val="single" w:sz="6" w:space="0" w:color="000000"/>
              <w:right w:val="single" w:sz="6" w:space="0" w:color="000000"/>
            </w:tcBorders>
            <w:vAlign w:val="center"/>
          </w:tcPr>
          <w:p w14:paraId="42A4952E" w14:textId="77777777" w:rsidR="00C04867" w:rsidRPr="00D2782A" w:rsidRDefault="00C04867" w:rsidP="00DA34EF">
            <w:pPr>
              <w:pStyle w:val="TableParagraph"/>
              <w:ind w:left="25" w:right="1"/>
              <w:jc w:val="center"/>
              <w:rPr>
                <w:sz w:val="24"/>
                <w:szCs w:val="24"/>
              </w:rPr>
            </w:pPr>
            <w:r w:rsidRPr="00D2782A">
              <w:rPr>
                <w:sz w:val="24"/>
                <w:szCs w:val="24"/>
              </w:rPr>
              <w:t>&gt; 25</w:t>
            </w:r>
          </w:p>
        </w:tc>
        <w:tc>
          <w:tcPr>
            <w:tcW w:w="1700" w:type="dxa"/>
            <w:tcBorders>
              <w:top w:val="single" w:sz="6" w:space="0" w:color="000000"/>
              <w:left w:val="single" w:sz="6" w:space="0" w:color="000000"/>
              <w:right w:val="single" w:sz="6" w:space="0" w:color="000000"/>
            </w:tcBorders>
            <w:vAlign w:val="center"/>
          </w:tcPr>
          <w:p w14:paraId="3EFBCD45" w14:textId="77777777" w:rsidR="00C04867" w:rsidRPr="00D2782A" w:rsidRDefault="00C04867" w:rsidP="00DA34EF">
            <w:pPr>
              <w:pStyle w:val="TableParagraph"/>
              <w:ind w:left="29" w:right="1"/>
              <w:jc w:val="center"/>
              <w:rPr>
                <w:sz w:val="24"/>
                <w:szCs w:val="24"/>
              </w:rPr>
            </w:pPr>
            <w:r w:rsidRPr="00D2782A">
              <w:rPr>
                <w:sz w:val="24"/>
                <w:szCs w:val="24"/>
              </w:rPr>
              <w:t>21%</w:t>
            </w:r>
          </w:p>
        </w:tc>
        <w:tc>
          <w:tcPr>
            <w:tcW w:w="1296" w:type="dxa"/>
            <w:tcBorders>
              <w:top w:val="single" w:sz="6" w:space="0" w:color="000000"/>
              <w:left w:val="single" w:sz="6" w:space="0" w:color="000000"/>
              <w:right w:val="single" w:sz="6" w:space="0" w:color="000000"/>
            </w:tcBorders>
            <w:vAlign w:val="center"/>
          </w:tcPr>
          <w:p w14:paraId="5CFE9573" w14:textId="77777777" w:rsidR="00C04867" w:rsidRPr="00D2782A" w:rsidRDefault="00C04867" w:rsidP="00DA34EF">
            <w:pPr>
              <w:pStyle w:val="TableParagraph"/>
              <w:ind w:left="30" w:right="1"/>
              <w:jc w:val="center"/>
              <w:rPr>
                <w:sz w:val="24"/>
                <w:szCs w:val="24"/>
              </w:rPr>
            </w:pPr>
            <w:r w:rsidRPr="00D2782A">
              <w:rPr>
                <w:sz w:val="24"/>
                <w:szCs w:val="24"/>
              </w:rPr>
              <w:t>17%</w:t>
            </w:r>
          </w:p>
        </w:tc>
        <w:tc>
          <w:tcPr>
            <w:tcW w:w="1440" w:type="dxa"/>
            <w:tcBorders>
              <w:top w:val="single" w:sz="6" w:space="0" w:color="000000"/>
              <w:left w:val="single" w:sz="6" w:space="0" w:color="000000"/>
              <w:right w:val="single" w:sz="6" w:space="0" w:color="000000"/>
            </w:tcBorders>
            <w:vAlign w:val="center"/>
          </w:tcPr>
          <w:p w14:paraId="2DB83E43" w14:textId="77777777" w:rsidR="00C04867" w:rsidRPr="00D2782A" w:rsidRDefault="00C04867" w:rsidP="00DA34EF">
            <w:pPr>
              <w:pStyle w:val="TableParagraph"/>
              <w:ind w:left="30"/>
              <w:jc w:val="center"/>
              <w:rPr>
                <w:sz w:val="24"/>
                <w:szCs w:val="24"/>
              </w:rPr>
            </w:pPr>
            <w:r w:rsidRPr="00D2782A">
              <w:rPr>
                <w:sz w:val="24"/>
                <w:szCs w:val="24"/>
              </w:rPr>
              <w:t>14%</w:t>
            </w:r>
          </w:p>
        </w:tc>
        <w:tc>
          <w:tcPr>
            <w:tcW w:w="1583" w:type="dxa"/>
            <w:tcBorders>
              <w:top w:val="single" w:sz="6" w:space="0" w:color="000000"/>
              <w:left w:val="single" w:sz="6" w:space="0" w:color="000000"/>
            </w:tcBorders>
            <w:vAlign w:val="center"/>
          </w:tcPr>
          <w:p w14:paraId="10394FE2" w14:textId="77777777" w:rsidR="00C04867" w:rsidRPr="00D2782A" w:rsidRDefault="00C04867" w:rsidP="00DA34EF">
            <w:pPr>
              <w:pStyle w:val="TableParagraph"/>
              <w:ind w:left="38"/>
              <w:jc w:val="center"/>
              <w:rPr>
                <w:sz w:val="24"/>
                <w:szCs w:val="24"/>
              </w:rPr>
            </w:pPr>
            <w:r w:rsidRPr="00D2782A">
              <w:rPr>
                <w:sz w:val="24"/>
                <w:szCs w:val="24"/>
              </w:rPr>
              <w:t>0%</w:t>
            </w:r>
          </w:p>
        </w:tc>
      </w:tr>
    </w:tbl>
    <w:p w14:paraId="6213B15E" w14:textId="77777777" w:rsidR="00C04867" w:rsidRPr="00D2782A" w:rsidRDefault="00C04867" w:rsidP="00C04867">
      <w:pPr>
        <w:rPr>
          <w:rFonts w:ascii="Times New Roman" w:hAnsi="Times New Roman" w:cs="Times New Roman"/>
        </w:rPr>
      </w:pPr>
    </w:p>
    <w:p w14:paraId="28884755" w14:textId="77777777" w:rsidR="00C04867" w:rsidRPr="00D2782A" w:rsidRDefault="00C04867" w:rsidP="00C04867">
      <w:pPr>
        <w:pStyle w:val="BodyText"/>
        <w:ind w:left="1440"/>
        <w:rPr>
          <w:rFonts w:ascii="Times New Roman" w:hAnsi="Times New Roman" w:cs="Times New Roman"/>
        </w:rPr>
      </w:pPr>
      <w:r w:rsidRPr="00D2782A">
        <w:rPr>
          <w:rFonts w:ascii="Times New Roman" w:hAnsi="Times New Roman" w:cs="Times New Roman"/>
        </w:rPr>
        <w:t>Recharge rates for shallow upland soils underlain by fractured bedrock which are designated in hydrologic soil group D are determined according to geologic properties, rather than the hydrologic soil group.</w:t>
      </w:r>
    </w:p>
    <w:p w14:paraId="0F254CBE" w14:textId="77777777" w:rsidR="00C04867" w:rsidRPr="00D2782A" w:rsidRDefault="00C04867" w:rsidP="00C04867">
      <w:pPr>
        <w:pStyle w:val="BodyText"/>
        <w:ind w:left="1440"/>
        <w:rPr>
          <w:rFonts w:ascii="Times New Roman" w:hAnsi="Times New Roman" w:cs="Times New Roman"/>
        </w:rPr>
      </w:pPr>
    </w:p>
    <w:p w14:paraId="24FDC5BB" w14:textId="77777777" w:rsidR="00C04867" w:rsidRPr="00D2782A" w:rsidRDefault="00C04867" w:rsidP="00C04867">
      <w:pPr>
        <w:pStyle w:val="BodyText"/>
        <w:ind w:left="1440"/>
        <w:rPr>
          <w:rFonts w:ascii="Times New Roman" w:hAnsi="Times New Roman" w:cs="Times New Roman"/>
        </w:rPr>
      </w:pPr>
      <w:r w:rsidRPr="00D2782A">
        <w:rPr>
          <w:rFonts w:ascii="Times New Roman" w:hAnsi="Times New Roman" w:cs="Times New Roman"/>
        </w:rPr>
        <w:t>Selection of the appropriate recharge rate at a site depends on factors such as the nature, density and duration of the post-development vegetative cover, the ground surface slope, the degree of ground surface roughness and the soil drainage class, in addition to the type of surficial deposit.</w:t>
      </w:r>
    </w:p>
    <w:p w14:paraId="36974CF5" w14:textId="77777777" w:rsidR="00C04867" w:rsidRPr="00D2782A" w:rsidRDefault="00C04867" w:rsidP="00C04867">
      <w:pPr>
        <w:rPr>
          <w:rFonts w:ascii="Times New Roman" w:hAnsi="Times New Roman" w:cs="Times New Roman"/>
        </w:rPr>
      </w:pPr>
    </w:p>
    <w:p w14:paraId="65702B6B"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Severe-drought scenario.</w:t>
      </w:r>
      <w:r w:rsidRPr="00D2782A">
        <w:rPr>
          <w:rFonts w:ascii="Times New Roman" w:hAnsi="Times New Roman" w:cs="Times New Roman"/>
        </w:rPr>
        <w:t xml:space="preserve"> In cases where the projected NO3-N contaminant plume concentration at the development boundary is greater than or equal to 8.0 mg/l, analyze nitrate impact under a severe-drought scenario based on 60% of the average annual recharge. Contaminant plume concentrations may not exceed 10 mg/l at the property boundary under this scenario.</w:t>
      </w:r>
    </w:p>
    <w:p w14:paraId="1B3E8E9A" w14:textId="77777777" w:rsidR="00C04867" w:rsidRPr="00D2782A" w:rsidRDefault="00C04867" w:rsidP="00C04867">
      <w:pPr>
        <w:pStyle w:val="ListParagraph"/>
        <w:numPr>
          <w:ilvl w:val="0"/>
          <w:numId w:val="0"/>
        </w:numPr>
        <w:ind w:left="1440"/>
        <w:rPr>
          <w:rFonts w:ascii="Times New Roman" w:hAnsi="Times New Roman" w:cs="Times New Roman"/>
        </w:rPr>
      </w:pPr>
    </w:p>
    <w:p w14:paraId="49F15E8B" w14:textId="77777777" w:rsidR="00C04867" w:rsidRPr="00D2782A" w:rsidRDefault="00C04867" w:rsidP="00C04867">
      <w:pPr>
        <w:pStyle w:val="ListParagraph"/>
        <w:numPr>
          <w:ilvl w:val="0"/>
          <w:numId w:val="78"/>
        </w:numPr>
        <w:ind w:left="1440"/>
        <w:rPr>
          <w:rFonts w:ascii="Times New Roman" w:hAnsi="Times New Roman" w:cs="Times New Roman"/>
        </w:rPr>
      </w:pPr>
      <w:r w:rsidRPr="00D2782A">
        <w:rPr>
          <w:rStyle w:val="Strong"/>
          <w:rFonts w:ascii="Times New Roman" w:hAnsi="Times New Roman" w:cs="Times New Roman"/>
        </w:rPr>
        <w:t>Wastewater flow to subsurface wastewater disposal fields.</w:t>
      </w:r>
      <w:r w:rsidRPr="00D2782A">
        <w:rPr>
          <w:rFonts w:ascii="Times New Roman" w:hAnsi="Times New Roman" w:cs="Times New Roman"/>
        </w:rPr>
        <w:t xml:space="preserve"> Wastewater flow to subsurface wastewater disposal systems is based on the design flow criteria of the Subsurface Wastewater Disposal Rules, 101-144A CMR 241 unless water-use records for establishments (other than single family dwellings) are provided in accordance with those rules. For single family dwellings, the NO3-N impact assessment must be based on wastewater flow for 3-bedroom capacity as an assumed minimum.</w:t>
      </w:r>
    </w:p>
    <w:p w14:paraId="4BC4E7F7" w14:textId="77777777" w:rsidR="00C04867" w:rsidRPr="00D2782A" w:rsidRDefault="00C04867" w:rsidP="00C04867">
      <w:pPr>
        <w:rPr>
          <w:rFonts w:ascii="Times New Roman" w:hAnsi="Times New Roman" w:cs="Times New Roman"/>
        </w:rPr>
      </w:pPr>
    </w:p>
    <w:p w14:paraId="5C03D707" w14:textId="77777777" w:rsidR="00C04867" w:rsidRPr="00D2782A" w:rsidRDefault="00C04867" w:rsidP="00C04867">
      <w:pPr>
        <w:pStyle w:val="ListParagraph"/>
        <w:numPr>
          <w:ilvl w:val="0"/>
          <w:numId w:val="75"/>
        </w:numPr>
        <w:ind w:left="1080"/>
        <w:rPr>
          <w:rFonts w:ascii="Times New Roman" w:hAnsi="Times New Roman" w:cs="Times New Roman"/>
        </w:rPr>
      </w:pPr>
      <w:r w:rsidRPr="00D2782A">
        <w:rPr>
          <w:rFonts w:ascii="Times New Roman" w:hAnsi="Times New Roman" w:cs="Times New Roman"/>
        </w:rPr>
        <w:t>Assessment report minimum requirements</w:t>
      </w:r>
    </w:p>
    <w:p w14:paraId="1A5D21C1" w14:textId="77777777" w:rsidR="00C04867" w:rsidRPr="00D2782A" w:rsidRDefault="00C04867" w:rsidP="00C04867">
      <w:pPr>
        <w:rPr>
          <w:rFonts w:ascii="Times New Roman" w:hAnsi="Times New Roman" w:cs="Times New Roman"/>
        </w:rPr>
      </w:pPr>
    </w:p>
    <w:p w14:paraId="01E4A669" w14:textId="77777777" w:rsidR="00C04867" w:rsidRPr="00D2782A" w:rsidRDefault="00C04867" w:rsidP="00C04867">
      <w:pPr>
        <w:pStyle w:val="ListParagraph"/>
        <w:numPr>
          <w:ilvl w:val="0"/>
          <w:numId w:val="80"/>
        </w:numPr>
        <w:ind w:left="1440"/>
        <w:rPr>
          <w:rFonts w:ascii="Times New Roman" w:hAnsi="Times New Roman" w:cs="Times New Roman"/>
        </w:rPr>
      </w:pPr>
      <w:r w:rsidRPr="00D2782A">
        <w:rPr>
          <w:rStyle w:val="Strong"/>
          <w:rFonts w:ascii="Times New Roman" w:hAnsi="Times New Roman" w:cs="Times New Roman"/>
        </w:rPr>
        <w:t>Narrative and calculations.</w:t>
      </w:r>
      <w:r w:rsidRPr="00D2782A">
        <w:rPr>
          <w:rFonts w:ascii="Times New Roman" w:hAnsi="Times New Roman" w:cs="Times New Roman"/>
        </w:rPr>
        <w:t xml:space="preserve"> Provide a report evaluating all relevant hydrogeologic, geologic and soils information for the study area. Include previously published data; an explanation of the method(s) used to determine the impact of the disposal systems; the assumptions used and evidence supporting those assumptions; all calculations; background groundwater quality data if available; a summary of the results and conclusions; and a list of references used.</w:t>
      </w:r>
    </w:p>
    <w:p w14:paraId="3BD0AD96" w14:textId="77777777" w:rsidR="00C04867" w:rsidRPr="00D2782A" w:rsidRDefault="00C04867" w:rsidP="00C04867">
      <w:pPr>
        <w:pStyle w:val="ListParagraph"/>
        <w:numPr>
          <w:ilvl w:val="0"/>
          <w:numId w:val="0"/>
        </w:numPr>
        <w:ind w:left="1440"/>
        <w:rPr>
          <w:rFonts w:ascii="Times New Roman" w:hAnsi="Times New Roman" w:cs="Times New Roman"/>
        </w:rPr>
      </w:pPr>
    </w:p>
    <w:p w14:paraId="4FA02A1C" w14:textId="77777777" w:rsidR="00C04867" w:rsidRPr="00D2782A" w:rsidRDefault="00C04867" w:rsidP="00C04867">
      <w:pPr>
        <w:pStyle w:val="ListParagraph"/>
        <w:numPr>
          <w:ilvl w:val="0"/>
          <w:numId w:val="80"/>
        </w:numPr>
        <w:ind w:left="1440"/>
        <w:rPr>
          <w:rFonts w:ascii="Times New Roman" w:hAnsi="Times New Roman" w:cs="Times New Roman"/>
        </w:rPr>
      </w:pPr>
      <w:r w:rsidRPr="00D2782A">
        <w:rPr>
          <w:rStyle w:val="Strong"/>
          <w:rFonts w:ascii="Times New Roman" w:hAnsi="Times New Roman" w:cs="Times New Roman"/>
        </w:rPr>
        <w:t>Site plan.</w:t>
      </w:r>
      <w:r w:rsidRPr="00D2782A">
        <w:rPr>
          <w:rFonts w:ascii="Times New Roman" w:hAnsi="Times New Roman" w:cs="Times New Roman"/>
        </w:rPr>
        <w:t xml:space="preserve"> In addition to the information required by subsection A (1), show the following on the site plan:</w:t>
      </w:r>
    </w:p>
    <w:p w14:paraId="4E7C641D" w14:textId="77777777" w:rsidR="00C04867" w:rsidRPr="00D2782A" w:rsidRDefault="00C04867" w:rsidP="00C04867">
      <w:pPr>
        <w:ind w:left="1440"/>
        <w:rPr>
          <w:rFonts w:ascii="Times New Roman" w:hAnsi="Times New Roman" w:cs="Times New Roman"/>
        </w:rPr>
      </w:pPr>
    </w:p>
    <w:p w14:paraId="1519949D" w14:textId="77777777" w:rsidR="00C04867" w:rsidRPr="00D2782A" w:rsidRDefault="00C04867" w:rsidP="00C04867">
      <w:pPr>
        <w:pStyle w:val="ListParagraph"/>
        <w:numPr>
          <w:ilvl w:val="0"/>
          <w:numId w:val="81"/>
        </w:numPr>
        <w:ind w:left="2160"/>
        <w:rPr>
          <w:rFonts w:ascii="Times New Roman" w:hAnsi="Times New Roman" w:cs="Times New Roman"/>
        </w:rPr>
      </w:pPr>
      <w:r w:rsidRPr="00D2782A">
        <w:rPr>
          <w:rFonts w:ascii="Times New Roman" w:hAnsi="Times New Roman" w:cs="Times New Roman"/>
        </w:rPr>
        <w:t>Optimum locations for all proposed water supply wells (if applicable). Well locations may be shown as areas rather than points, or well exclusion zones may be delineated.</w:t>
      </w:r>
    </w:p>
    <w:p w14:paraId="116709FA" w14:textId="77777777" w:rsidR="00C04867" w:rsidRPr="00D2782A" w:rsidRDefault="00C04867" w:rsidP="00C04867">
      <w:pPr>
        <w:pStyle w:val="ListParagraph"/>
        <w:numPr>
          <w:ilvl w:val="0"/>
          <w:numId w:val="0"/>
        </w:numPr>
        <w:ind w:left="2160"/>
        <w:rPr>
          <w:rFonts w:ascii="Times New Roman" w:hAnsi="Times New Roman" w:cs="Times New Roman"/>
        </w:rPr>
      </w:pPr>
    </w:p>
    <w:p w14:paraId="38F6857A" w14:textId="77777777" w:rsidR="00C04867" w:rsidRPr="00D2782A" w:rsidRDefault="00C04867" w:rsidP="00C04867">
      <w:pPr>
        <w:pStyle w:val="ListParagraph"/>
        <w:numPr>
          <w:ilvl w:val="0"/>
          <w:numId w:val="81"/>
        </w:numPr>
        <w:ind w:left="2160"/>
        <w:rPr>
          <w:rFonts w:ascii="Times New Roman" w:hAnsi="Times New Roman" w:cs="Times New Roman"/>
        </w:rPr>
      </w:pPr>
      <w:r w:rsidRPr="00D2782A">
        <w:rPr>
          <w:rFonts w:ascii="Times New Roman" w:hAnsi="Times New Roman" w:cs="Times New Roman"/>
        </w:rPr>
        <w:t>10 mg/l and 8 mg/l NO3-N isocons at steady-state conditions, and when appropriate, the nitrate concentrations at the property boundary.</w:t>
      </w:r>
    </w:p>
    <w:p w14:paraId="646B6200" w14:textId="77777777" w:rsidR="00C04867" w:rsidRPr="00D2782A" w:rsidRDefault="00C04867" w:rsidP="00C04867">
      <w:pPr>
        <w:pStyle w:val="ListParagraph"/>
        <w:numPr>
          <w:ilvl w:val="0"/>
          <w:numId w:val="0"/>
        </w:numPr>
        <w:ind w:left="2160"/>
        <w:rPr>
          <w:rFonts w:ascii="Times New Roman" w:hAnsi="Times New Roman" w:cs="Times New Roman"/>
        </w:rPr>
      </w:pPr>
    </w:p>
    <w:p w14:paraId="069B7B30" w14:textId="77777777" w:rsidR="00C04867" w:rsidRPr="00D2782A" w:rsidRDefault="00C04867" w:rsidP="00C04867">
      <w:pPr>
        <w:pStyle w:val="ListParagraph"/>
        <w:numPr>
          <w:ilvl w:val="0"/>
          <w:numId w:val="81"/>
        </w:numPr>
        <w:ind w:left="2160"/>
        <w:rPr>
          <w:rFonts w:ascii="Times New Roman" w:hAnsi="Times New Roman" w:cs="Times New Roman"/>
        </w:rPr>
      </w:pPr>
      <w:r w:rsidRPr="00D2782A">
        <w:rPr>
          <w:rFonts w:ascii="Times New Roman" w:hAnsi="Times New Roman" w:cs="Times New Roman"/>
        </w:rPr>
        <w:t>Groundwater contours and groundwater flow divides if on-site monitoring of groundwater depths is conducted.</w:t>
      </w:r>
    </w:p>
    <w:p w14:paraId="15D1841B" w14:textId="77777777" w:rsidR="00C04867" w:rsidRPr="00D2782A" w:rsidRDefault="00C04867" w:rsidP="00C04867">
      <w:pPr>
        <w:pStyle w:val="ListParagraph"/>
        <w:numPr>
          <w:ilvl w:val="0"/>
          <w:numId w:val="0"/>
        </w:numPr>
        <w:ind w:left="2160"/>
        <w:rPr>
          <w:rFonts w:ascii="Times New Roman" w:hAnsi="Times New Roman" w:cs="Times New Roman"/>
        </w:rPr>
      </w:pPr>
    </w:p>
    <w:p w14:paraId="21C5C4F8" w14:textId="77777777" w:rsidR="00C04867" w:rsidRPr="00D2782A" w:rsidRDefault="00C04867" w:rsidP="00C04867">
      <w:pPr>
        <w:pStyle w:val="ListParagraph"/>
        <w:numPr>
          <w:ilvl w:val="0"/>
          <w:numId w:val="81"/>
        </w:numPr>
        <w:ind w:left="2160"/>
        <w:rPr>
          <w:rFonts w:ascii="Times New Roman" w:hAnsi="Times New Roman" w:cs="Times New Roman"/>
        </w:rPr>
      </w:pPr>
      <w:r w:rsidRPr="00D2782A">
        <w:rPr>
          <w:rFonts w:ascii="Times New Roman" w:hAnsi="Times New Roman" w:cs="Times New Roman"/>
        </w:rPr>
        <w:t>Locations of any groundwater monitoring wells or other wells, and identifying symbols, if installed or used for the nitrate-nitrogen impact assessment.</w:t>
      </w:r>
    </w:p>
    <w:p w14:paraId="3B222AAC" w14:textId="77777777" w:rsidR="00C04867" w:rsidRPr="00D2782A" w:rsidRDefault="00C04867" w:rsidP="00C04867">
      <w:pPr>
        <w:rPr>
          <w:rFonts w:ascii="Times New Roman" w:hAnsi="Times New Roman" w:cs="Times New Roman"/>
        </w:rPr>
      </w:pPr>
    </w:p>
    <w:p w14:paraId="28CBD463" w14:textId="77777777" w:rsidR="00C04867" w:rsidRPr="00D2782A" w:rsidRDefault="00C04867" w:rsidP="00C04867">
      <w:pPr>
        <w:pStyle w:val="ListParagraph"/>
        <w:numPr>
          <w:ilvl w:val="0"/>
          <w:numId w:val="75"/>
        </w:numPr>
        <w:ind w:left="1080"/>
        <w:rPr>
          <w:rFonts w:ascii="Times New Roman" w:hAnsi="Times New Roman" w:cs="Times New Roman"/>
        </w:rPr>
      </w:pPr>
      <w:r w:rsidRPr="00D2782A">
        <w:rPr>
          <w:rStyle w:val="Strong"/>
          <w:rFonts w:ascii="Times New Roman" w:hAnsi="Times New Roman" w:cs="Times New Roman"/>
        </w:rPr>
        <w:t>Denitrification systems.</w:t>
      </w:r>
      <w:r w:rsidRPr="00D2782A">
        <w:rPr>
          <w:rFonts w:ascii="Times New Roman" w:hAnsi="Times New Roman" w:cs="Times New Roman"/>
        </w:rPr>
        <w:t xml:space="preserve"> If denitrification systems are proposed, provide the following.</w:t>
      </w:r>
    </w:p>
    <w:p w14:paraId="2E9FB3E1" w14:textId="77777777" w:rsidR="00C04867" w:rsidRPr="00D2782A" w:rsidRDefault="00C04867" w:rsidP="00C04867">
      <w:pPr>
        <w:rPr>
          <w:rFonts w:ascii="Times New Roman" w:hAnsi="Times New Roman" w:cs="Times New Roman"/>
        </w:rPr>
      </w:pPr>
    </w:p>
    <w:p w14:paraId="3FC49761" w14:textId="77777777" w:rsidR="00C04867" w:rsidRPr="00D2782A" w:rsidRDefault="00C04867" w:rsidP="00C04867">
      <w:pPr>
        <w:pStyle w:val="ListParagraph"/>
        <w:numPr>
          <w:ilvl w:val="0"/>
          <w:numId w:val="82"/>
        </w:numPr>
        <w:ind w:left="1440"/>
        <w:rPr>
          <w:rFonts w:ascii="Times New Roman" w:hAnsi="Times New Roman" w:cs="Times New Roman"/>
        </w:rPr>
      </w:pPr>
      <w:r w:rsidRPr="00D2782A">
        <w:rPr>
          <w:rStyle w:val="Strong"/>
          <w:rFonts w:ascii="Times New Roman" w:hAnsi="Times New Roman" w:cs="Times New Roman"/>
        </w:rPr>
        <w:t>Design plans and specifications.</w:t>
      </w:r>
      <w:r w:rsidRPr="00D2782A">
        <w:rPr>
          <w:rFonts w:ascii="Times New Roman" w:hAnsi="Times New Roman" w:cs="Times New Roman"/>
        </w:rPr>
        <w:t xml:space="preserve"> Design plans, including system layout, elevation, and cross-sections for the proposed systems, and specifications including wastewater design flow, treatment method and material specifications in addition to documents containing relevant theoretical considerations and applied research relevant to the system and a list of references used in completing the design.</w:t>
      </w:r>
    </w:p>
    <w:p w14:paraId="73F03981" w14:textId="77777777" w:rsidR="00C04867" w:rsidRPr="00D2782A" w:rsidRDefault="00C04867" w:rsidP="00C04867">
      <w:pPr>
        <w:pStyle w:val="ListParagraph"/>
        <w:numPr>
          <w:ilvl w:val="0"/>
          <w:numId w:val="0"/>
        </w:numPr>
        <w:ind w:left="1440"/>
        <w:rPr>
          <w:rFonts w:ascii="Times New Roman" w:hAnsi="Times New Roman" w:cs="Times New Roman"/>
        </w:rPr>
      </w:pPr>
    </w:p>
    <w:p w14:paraId="61DAFED3" w14:textId="77777777" w:rsidR="00C04867" w:rsidRPr="00D2782A" w:rsidRDefault="00C04867" w:rsidP="00C04867">
      <w:pPr>
        <w:pStyle w:val="ListParagraph"/>
        <w:numPr>
          <w:ilvl w:val="0"/>
          <w:numId w:val="82"/>
        </w:numPr>
        <w:ind w:left="1440"/>
        <w:rPr>
          <w:rFonts w:ascii="Times New Roman" w:hAnsi="Times New Roman" w:cs="Times New Roman"/>
        </w:rPr>
      </w:pPr>
      <w:r w:rsidRPr="00D2782A">
        <w:rPr>
          <w:rStyle w:val="Strong"/>
          <w:rFonts w:ascii="Times New Roman" w:hAnsi="Times New Roman" w:cs="Times New Roman"/>
        </w:rPr>
        <w:t>Installation information.</w:t>
      </w:r>
      <w:r w:rsidRPr="00D2782A">
        <w:rPr>
          <w:rFonts w:ascii="Times New Roman" w:hAnsi="Times New Roman" w:cs="Times New Roman"/>
        </w:rPr>
        <w:t xml:space="preserve"> Information demonstrates that the designer or manufacturer of the system, or other qualified and experienced professional acceptable to the department, will oversee installation.</w:t>
      </w:r>
    </w:p>
    <w:p w14:paraId="296ED353" w14:textId="77777777" w:rsidR="00C04867" w:rsidRPr="00D2782A" w:rsidRDefault="00C04867" w:rsidP="00C04867">
      <w:pPr>
        <w:pStyle w:val="ListParagraph"/>
        <w:numPr>
          <w:ilvl w:val="0"/>
          <w:numId w:val="0"/>
        </w:numPr>
        <w:ind w:left="1440"/>
        <w:rPr>
          <w:rFonts w:ascii="Times New Roman" w:hAnsi="Times New Roman" w:cs="Times New Roman"/>
        </w:rPr>
      </w:pPr>
    </w:p>
    <w:p w14:paraId="1BADD57F" w14:textId="77777777" w:rsidR="00C04867" w:rsidRPr="00D2782A" w:rsidRDefault="00C04867" w:rsidP="00C04867">
      <w:pPr>
        <w:pStyle w:val="ListParagraph"/>
        <w:numPr>
          <w:ilvl w:val="0"/>
          <w:numId w:val="82"/>
        </w:numPr>
        <w:ind w:left="1440"/>
        <w:rPr>
          <w:rFonts w:ascii="Times New Roman" w:hAnsi="Times New Roman" w:cs="Times New Roman"/>
        </w:rPr>
      </w:pPr>
      <w:r w:rsidRPr="00D2782A">
        <w:rPr>
          <w:rStyle w:val="Strong"/>
          <w:rFonts w:ascii="Times New Roman" w:hAnsi="Times New Roman" w:cs="Times New Roman"/>
        </w:rPr>
        <w:t>Monitoring plan.</w:t>
      </w:r>
      <w:r w:rsidRPr="00D2782A">
        <w:rPr>
          <w:rFonts w:ascii="Times New Roman" w:hAnsi="Times New Roman" w:cs="Times New Roman"/>
        </w:rPr>
        <w:t xml:space="preserve"> A groundwater and wastewater monitoring plan developed by a certified geologist to evaluate the performance of the system. Details to be provided in a monitoring plan are outlined in Section 15(C).</w:t>
      </w:r>
    </w:p>
    <w:p w14:paraId="76E42168" w14:textId="77777777" w:rsidR="00C04867" w:rsidRPr="00D2782A" w:rsidRDefault="00C04867" w:rsidP="00C04867">
      <w:pPr>
        <w:pStyle w:val="ListParagraph"/>
        <w:numPr>
          <w:ilvl w:val="0"/>
          <w:numId w:val="0"/>
        </w:numPr>
        <w:ind w:left="1440"/>
        <w:rPr>
          <w:rFonts w:ascii="Times New Roman" w:hAnsi="Times New Roman" w:cs="Times New Roman"/>
        </w:rPr>
      </w:pPr>
    </w:p>
    <w:p w14:paraId="28E27C6F" w14:textId="77777777" w:rsidR="00C04867" w:rsidRPr="00D2782A" w:rsidRDefault="00C04867" w:rsidP="00C04867">
      <w:pPr>
        <w:pStyle w:val="ListParagraph"/>
        <w:numPr>
          <w:ilvl w:val="0"/>
          <w:numId w:val="82"/>
        </w:numPr>
        <w:ind w:left="1440"/>
        <w:rPr>
          <w:rFonts w:ascii="Times New Roman" w:hAnsi="Times New Roman" w:cs="Times New Roman"/>
        </w:rPr>
      </w:pPr>
      <w:r w:rsidRPr="00D2782A">
        <w:rPr>
          <w:rStyle w:val="Strong"/>
          <w:rFonts w:ascii="Times New Roman" w:hAnsi="Times New Roman" w:cs="Times New Roman"/>
        </w:rPr>
        <w:t>Maintenance requirements.</w:t>
      </w:r>
      <w:r w:rsidRPr="00D2782A">
        <w:rPr>
          <w:rFonts w:ascii="Times New Roman" w:hAnsi="Times New Roman" w:cs="Times New Roman"/>
        </w:rPr>
        <w:t xml:space="preserve"> Identification of maintenance requirements for the system(s), and an operation and maintenance plan for the system(s). Provisions must be made to provide a copy of this plan to any homeowner with a </w:t>
      </w:r>
      <w:r w:rsidRPr="00D2782A">
        <w:rPr>
          <w:rFonts w:ascii="Times New Roman" w:hAnsi="Times New Roman" w:cs="Times New Roman"/>
        </w:rPr>
        <w:lastRenderedPageBreak/>
        <w:t>denitrification system.</w:t>
      </w:r>
    </w:p>
    <w:p w14:paraId="13CC664C" w14:textId="77777777" w:rsidR="00C04867" w:rsidRPr="00D2782A" w:rsidRDefault="00C04867" w:rsidP="00C04867">
      <w:pPr>
        <w:pStyle w:val="ListParagraph"/>
        <w:numPr>
          <w:ilvl w:val="0"/>
          <w:numId w:val="0"/>
        </w:numPr>
        <w:ind w:left="1440"/>
        <w:rPr>
          <w:rFonts w:ascii="Times New Roman" w:hAnsi="Times New Roman" w:cs="Times New Roman"/>
        </w:rPr>
      </w:pPr>
    </w:p>
    <w:p w14:paraId="237D3F63" w14:textId="77777777" w:rsidR="00C04867" w:rsidRPr="00D2782A" w:rsidRDefault="00C04867" w:rsidP="00C04867">
      <w:pPr>
        <w:pStyle w:val="ListParagraph"/>
        <w:numPr>
          <w:ilvl w:val="0"/>
          <w:numId w:val="82"/>
        </w:numPr>
        <w:ind w:left="1440"/>
        <w:rPr>
          <w:rFonts w:ascii="Times New Roman" w:hAnsi="Times New Roman" w:cs="Times New Roman"/>
        </w:rPr>
      </w:pPr>
      <w:r w:rsidRPr="00D2782A">
        <w:rPr>
          <w:rStyle w:val="Strong"/>
          <w:rFonts w:ascii="Times New Roman" w:hAnsi="Times New Roman" w:cs="Times New Roman"/>
        </w:rPr>
        <w:t>Backup system.</w:t>
      </w:r>
      <w:r w:rsidRPr="00D2782A">
        <w:rPr>
          <w:rFonts w:ascii="Times New Roman" w:hAnsi="Times New Roman" w:cs="Times New Roman"/>
        </w:rPr>
        <w:t xml:space="preserve"> Demonstration that a suitable backup system can be installed in the event of a malfunction of the denitrification system. A reserve area with suitable soil conditions must be delineated on the plan and be reserved for replacement of the system. Soil profile data must be submitted to verify suitable soil conditions in the reserve area.</w:t>
      </w:r>
    </w:p>
    <w:p w14:paraId="16F58146" w14:textId="77777777" w:rsidR="00C04867" w:rsidRPr="00D2782A" w:rsidRDefault="00C04867" w:rsidP="00C04867">
      <w:pPr>
        <w:rPr>
          <w:rFonts w:ascii="Times New Roman" w:hAnsi="Times New Roman" w:cs="Times New Roman"/>
        </w:rPr>
      </w:pPr>
    </w:p>
    <w:p w14:paraId="636D18C5" w14:textId="77777777" w:rsidR="00C04867" w:rsidRPr="00D2782A" w:rsidRDefault="00C04867" w:rsidP="00C04867">
      <w:pPr>
        <w:pStyle w:val="ListParagraph"/>
        <w:numPr>
          <w:ilvl w:val="0"/>
          <w:numId w:val="71"/>
        </w:numPr>
        <w:rPr>
          <w:rFonts w:ascii="Times New Roman" w:hAnsi="Times New Roman" w:cs="Times New Roman"/>
        </w:rPr>
      </w:pPr>
      <w:r w:rsidRPr="00D2782A">
        <w:rPr>
          <w:rStyle w:val="Strong"/>
          <w:rFonts w:ascii="Times New Roman" w:hAnsi="Times New Roman" w:cs="Times New Roman"/>
        </w:rPr>
        <w:t>Municipal facility or utility company letter.</w:t>
      </w:r>
      <w:r w:rsidRPr="00D2782A">
        <w:rPr>
          <w:rFonts w:ascii="Times New Roman" w:hAnsi="Times New Roman" w:cs="Times New Roman"/>
        </w:rPr>
        <w:t xml:space="preserve"> If a municipal facility or utility company provides sewage disposal, provide a letter from the municipal facility acknowledging that there is sufficient collection and treatment capacity, and stating that the municipality agrees to accept the amount and nature of the wastewater flow from the development. The site plan must locate the proposed connection to the existing sewer system. If the project includes an extension of the existing sewer collection system, the plans and specifications regarding that extension must be included or be supplied at a later date. If the project includes a new pump station, the plans and specifications regarding that pump station must also be included or be supplied at a later date. A sewer extension involves the construction of a new sewer intended to pick up new lateral connections; reviews are required for both public and private extensions. A single discharge pipe from one building to an existing sewer is not considered a sewer extension. See 38 M.R.S. § 361.</w:t>
      </w:r>
    </w:p>
    <w:p w14:paraId="6B5C1C33" w14:textId="77777777" w:rsidR="00C04867" w:rsidRPr="00D2782A" w:rsidRDefault="00C04867" w:rsidP="00C04867">
      <w:pPr>
        <w:pStyle w:val="ListParagraph"/>
        <w:numPr>
          <w:ilvl w:val="0"/>
          <w:numId w:val="0"/>
        </w:numPr>
        <w:ind w:left="720"/>
        <w:rPr>
          <w:rFonts w:ascii="Times New Roman" w:hAnsi="Times New Roman" w:cs="Times New Roman"/>
        </w:rPr>
      </w:pPr>
    </w:p>
    <w:p w14:paraId="47B2BA2D" w14:textId="77777777" w:rsidR="00C04867" w:rsidRPr="00D2782A" w:rsidRDefault="00C04867" w:rsidP="00C04867">
      <w:pPr>
        <w:pStyle w:val="ListParagraph"/>
        <w:numPr>
          <w:ilvl w:val="0"/>
          <w:numId w:val="71"/>
        </w:numPr>
        <w:rPr>
          <w:rFonts w:ascii="Times New Roman" w:hAnsi="Times New Roman" w:cs="Times New Roman"/>
        </w:rPr>
      </w:pPr>
      <w:r w:rsidRPr="00D2782A">
        <w:rPr>
          <w:rStyle w:val="Strong"/>
          <w:rFonts w:ascii="Times New Roman" w:hAnsi="Times New Roman" w:cs="Times New Roman"/>
        </w:rPr>
        <w:t>Wastewater discharge information.</w:t>
      </w:r>
      <w:r w:rsidRPr="00D2782A">
        <w:rPr>
          <w:rFonts w:ascii="Times New Roman" w:hAnsi="Times New Roman" w:cs="Times New Roman"/>
        </w:rPr>
        <w:t xml:space="preserve"> If the development will discharge any liquid waste into any stream, river, pond, lake or other body of water including tidal waters, describe the type of discharge, volume of discharge and body of water affected.</w:t>
      </w:r>
    </w:p>
    <w:p w14:paraId="2E9D2EAF" w14:textId="77777777" w:rsidR="00C04867" w:rsidRPr="00D2782A" w:rsidRDefault="00C04867" w:rsidP="00C04867">
      <w:pPr>
        <w:pStyle w:val="ListParagraph"/>
        <w:numPr>
          <w:ilvl w:val="0"/>
          <w:numId w:val="0"/>
        </w:numPr>
        <w:ind w:left="720"/>
        <w:rPr>
          <w:rFonts w:ascii="Times New Roman" w:hAnsi="Times New Roman" w:cs="Times New Roman"/>
        </w:rPr>
      </w:pPr>
    </w:p>
    <w:p w14:paraId="5F14BD59" w14:textId="77777777" w:rsidR="00C04867" w:rsidRPr="00D2782A" w:rsidRDefault="00C04867" w:rsidP="00C04867">
      <w:pPr>
        <w:pStyle w:val="ListParagraph"/>
        <w:numPr>
          <w:ilvl w:val="0"/>
          <w:numId w:val="0"/>
        </w:numPr>
        <w:ind w:left="720"/>
        <w:rPr>
          <w:rFonts w:ascii="Times New Roman" w:hAnsi="Times New Roman" w:cs="Times New Roman"/>
        </w:rPr>
      </w:pPr>
      <w:r w:rsidRPr="00D2782A">
        <w:rPr>
          <w:rFonts w:ascii="Times New Roman" w:hAnsi="Times New Roman" w:cs="Times New Roman"/>
        </w:rPr>
        <w:t>A Wastewater Discharge License from the Bureau of Land Resources, Division of Water Resource Regulation, may be required. For further information contact the Bureau of Land Resources (287-7688).</w:t>
      </w:r>
    </w:p>
    <w:p w14:paraId="39B0EE00" w14:textId="77777777" w:rsidR="00C04867" w:rsidRPr="00D2782A" w:rsidRDefault="00C04867" w:rsidP="00C04867">
      <w:pPr>
        <w:pStyle w:val="ListParagraph"/>
        <w:numPr>
          <w:ilvl w:val="0"/>
          <w:numId w:val="0"/>
        </w:numPr>
        <w:ind w:left="720"/>
        <w:rPr>
          <w:rFonts w:ascii="Times New Roman" w:hAnsi="Times New Roman" w:cs="Times New Roman"/>
        </w:rPr>
      </w:pPr>
    </w:p>
    <w:p w14:paraId="53A75AB4" w14:textId="77777777" w:rsidR="00C04867" w:rsidRPr="00D2782A" w:rsidRDefault="00C04867" w:rsidP="00C04867">
      <w:pPr>
        <w:pStyle w:val="ListParagraph"/>
        <w:numPr>
          <w:ilvl w:val="0"/>
          <w:numId w:val="71"/>
        </w:numPr>
        <w:rPr>
          <w:rFonts w:ascii="Times New Roman" w:hAnsi="Times New Roman" w:cs="Times New Roman"/>
        </w:rPr>
      </w:pPr>
      <w:r w:rsidRPr="00D2782A">
        <w:rPr>
          <w:rStyle w:val="Strong"/>
          <w:rFonts w:ascii="Times New Roman" w:hAnsi="Times New Roman" w:cs="Times New Roman"/>
        </w:rPr>
        <w:t>Storage or treatment lagoons.</w:t>
      </w:r>
      <w:r w:rsidRPr="00D2782A">
        <w:rPr>
          <w:rFonts w:ascii="Times New Roman" w:hAnsi="Times New Roman" w:cs="Times New Roman"/>
        </w:rPr>
        <w:t xml:space="preserve"> If the development will include any lagoons, impoundments, ponds, or similar structures for storage, treatment, infiltration or other functions involving water or liquid waste other than solely stormwater, submit information describing the proposed design of these facilities, including but not limited to: a site plan showing the location of the proposed structure; cross- sections and relevant design details; depth to groundwater and groundwater flow direction in the vicinity of the proposed structure, proposed liner details and liner installation plan, if applicable; and a groundwater monitoring plan (see Sections 15.C and 15.D).</w:t>
      </w:r>
    </w:p>
    <w:p w14:paraId="564F8A06" w14:textId="77777777" w:rsidR="00C04867" w:rsidRPr="00D2782A" w:rsidRDefault="00C04867" w:rsidP="00C04867">
      <w:pPr>
        <w:rPr>
          <w:rFonts w:ascii="Times New Roman" w:hAnsi="Times New Roman" w:cs="Times New Roman"/>
        </w:rPr>
      </w:pPr>
    </w:p>
    <w:p w14:paraId="446EF1D4" w14:textId="3E53007D" w:rsidR="00C04867" w:rsidRPr="00D2782A" w:rsidRDefault="00C04867" w:rsidP="00C04867">
      <w:pPr>
        <w:rPr>
          <w:rFonts w:ascii="Times New Roman" w:hAnsi="Times New Roman" w:cs="Times New Roman"/>
          <w:i/>
          <w:iCs/>
          <w:sz w:val="24"/>
          <w:szCs w:val="24"/>
        </w:rPr>
      </w:pPr>
      <w:r w:rsidRPr="00D2782A">
        <w:rPr>
          <w:rFonts w:ascii="Times New Roman" w:hAnsi="Times New Roman" w:cs="Times New Roman"/>
          <w:i/>
          <w:iCs/>
          <w:sz w:val="24"/>
          <w:szCs w:val="24"/>
        </w:rPr>
        <w:t>Reference: No Adverse Environmental Effect Standard of the Site Location Law (No Unreasonable Adverse Effect on Surface Water Quality), 06-096 CMR 375.6.</w:t>
      </w:r>
    </w:p>
    <w:p w14:paraId="237DCE65" w14:textId="77777777" w:rsidR="00C04867" w:rsidRPr="00386436" w:rsidRDefault="00C04867" w:rsidP="001A59EF">
      <w:pPr>
        <w:pStyle w:val="BodyText"/>
        <w:rPr>
          <w:rFonts w:ascii="Times New Roman" w:hAnsi="Times New Roman" w:cs="Times New Roman"/>
        </w:rPr>
      </w:pPr>
    </w:p>
    <w:sectPr w:rsidR="00C04867" w:rsidRPr="00386436"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F3FF" w14:textId="77777777" w:rsidR="00414C18" w:rsidRDefault="00414C18">
      <w:r>
        <w:separator/>
      </w:r>
    </w:p>
  </w:endnote>
  <w:endnote w:type="continuationSeparator" w:id="0">
    <w:p w14:paraId="2CB63371" w14:textId="77777777" w:rsidR="00414C18" w:rsidRDefault="0041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03B1" w14:textId="77777777" w:rsidR="00414C18" w:rsidRDefault="00414C18">
      <w:r>
        <w:separator/>
      </w:r>
    </w:p>
  </w:footnote>
  <w:footnote w:type="continuationSeparator" w:id="0">
    <w:p w14:paraId="4F830C52" w14:textId="77777777" w:rsidR="00414C18" w:rsidRDefault="00414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636B"/>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14C18"/>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0480"/>
    <w:rsid w:val="008A19E2"/>
    <w:rsid w:val="008B5530"/>
    <w:rsid w:val="008C65C9"/>
    <w:rsid w:val="008D0101"/>
    <w:rsid w:val="008D653C"/>
    <w:rsid w:val="008D7C6C"/>
    <w:rsid w:val="008E7CDB"/>
    <w:rsid w:val="008F251F"/>
    <w:rsid w:val="008F2C80"/>
    <w:rsid w:val="008F379A"/>
    <w:rsid w:val="00922150"/>
    <w:rsid w:val="00923054"/>
    <w:rsid w:val="00931A91"/>
    <w:rsid w:val="00934FEE"/>
    <w:rsid w:val="00936E87"/>
    <w:rsid w:val="00937045"/>
    <w:rsid w:val="009400B2"/>
    <w:rsid w:val="00986CC0"/>
    <w:rsid w:val="009B7A1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04867"/>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2026-03-04T20:28:00Z</dcterms:created>
  <dcterms:modified xsi:type="dcterms:W3CDTF">2026-03-04T20:28:00Z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